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A1B35">
      <w:pPr>
        <w:tabs>
          <w:tab w:val="left" w:pos="6660"/>
        </w:tabs>
        <w:rPr>
          <w:rFonts w:eastAsia="黑体"/>
          <w:sz w:val="28"/>
        </w:rPr>
      </w:pPr>
      <w:r>
        <mc:AlternateContent>
          <mc:Choice Requires="wps">
            <w:drawing>
              <wp:anchor distT="0" distB="0" distL="114300" distR="114300" simplePos="0" relativeHeight="251660288" behindDoc="0" locked="0" layoutInCell="0" allowOverlap="1">
                <wp:simplePos x="0" y="0"/>
                <wp:positionH relativeFrom="column">
                  <wp:posOffset>3266440</wp:posOffset>
                </wp:positionH>
                <wp:positionV relativeFrom="paragraph">
                  <wp:posOffset>0</wp:posOffset>
                </wp:positionV>
                <wp:extent cx="2219960" cy="1485900"/>
                <wp:effectExtent l="0" t="0" r="8890" b="0"/>
                <wp:wrapNone/>
                <wp:docPr id="3" name="矩形 2"/>
                <wp:cNvGraphicFramePr/>
                <a:graphic xmlns:a="http://schemas.openxmlformats.org/drawingml/2006/main">
                  <a:graphicData uri="http://schemas.microsoft.com/office/word/2010/wordprocessingShape">
                    <wps:wsp>
                      <wps:cNvSpPr/>
                      <wps:spPr>
                        <a:xfrm>
                          <a:off x="0" y="0"/>
                          <a:ext cx="2219960" cy="1485900"/>
                        </a:xfrm>
                        <a:prstGeom prst="rect">
                          <a:avLst/>
                        </a:prstGeom>
                        <a:noFill/>
                        <a:ln>
                          <a:noFill/>
                        </a:ln>
                      </wps:spPr>
                      <wps:txbx>
                        <w:txbxContent>
                          <w:p w14:paraId="4A9B68F2">
                            <w:r>
                              <w:object>
                                <v:shape id="_x0000_i1025" o:spt="75" type="#_x0000_t75" style="height:114.05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xbxContent>
                      </wps:txbx>
                      <wps:bodyPr wrap="none" lIns="0" tIns="0" rIns="0" bIns="0" upright="1"/>
                    </wps:wsp>
                  </a:graphicData>
                </a:graphic>
              </wp:anchor>
            </w:drawing>
          </mc:Choice>
          <mc:Fallback>
            <w:pict>
              <v:rect id="矩形 2" o:spid="_x0000_s1026" o:spt="1" style="position:absolute;left:0pt;margin-left:257.2pt;margin-top:0pt;height:117pt;width:174.8pt;mso-wrap-style:none;z-index:251660288;mso-width-relative:page;mso-height-relative:page;" filled="f" stroked="f" coordsize="21600,21600" o:allowincell="f" o:gfxdata="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esqT1gAAAAgBAAAPAAAAAAAAAAEAIAAAACIAAABkcnMvZG93bnJldi54bWxQSwECFAAU&#10;AAAACACHTuJA1olYcboBAAByAwAADgAAAAAAAAABACAAAAAlAQAAZHJzL2Uyb0RvYy54bWxQSwUG&#10;AAAAAAYABgBZAQAAUQUAAAAA&#10;">
                <v:fill on="f" focussize="0,0"/>
                <v:stroke on="f"/>
                <v:imagedata o:title=""/>
                <o:lock v:ext="edit" aspectratio="f"/>
                <v:textbox inset="0mm,0mm,0mm,0mm">
                  <w:txbxContent>
                    <w:p w14:paraId="4A9B68F2">
                      <w:r>
                        <w:object>
                          <v:shape id="_x0000_i1025" o:spt="75" type="#_x0000_t75" style="height:114.05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6" r:id="rId10">
                            <o:LockedField>false</o:LockedField>
                          </o:OLEObject>
                        </w:object>
                      </w:r>
                    </w:p>
                  </w:txbxContent>
                </v:textbox>
              </v:rect>
            </w:pict>
          </mc:Fallback>
        </mc:AlternateContent>
      </w:r>
    </w:p>
    <w:p w14:paraId="2C628A22">
      <w:pPr>
        <w:outlineLvl w:val="0"/>
        <w:rPr>
          <w:rFonts w:eastAsia="黑体"/>
          <w:sz w:val="32"/>
        </w:rPr>
      </w:pPr>
      <w:r>
        <w:rPr>
          <w:rFonts w:eastAsia="黑体"/>
          <w:sz w:val="32"/>
        </w:rPr>
        <w:t>UDC</w:t>
      </w:r>
    </w:p>
    <w:p w14:paraId="5B5A17F0"/>
    <w:p w14:paraId="2A552702">
      <w:pPr>
        <w:rPr>
          <w:rFonts w:eastAsia="黑体"/>
          <w:sz w:val="36"/>
        </w:rPr>
      </w:pPr>
      <w:bookmarkStart w:id="0" w:name="_Toc89747873"/>
      <w:r>
        <w:t xml:space="preserve">   </w:t>
      </w:r>
      <w:r>
        <w:rPr>
          <w:rFonts w:eastAsia="黑体"/>
          <w:sz w:val="36"/>
        </w:rPr>
        <w:t>中华人民共和国国家标准</w:t>
      </w:r>
      <w:bookmarkEnd w:id="0"/>
    </w:p>
    <w:p w14:paraId="1FC642E2">
      <w:pPr>
        <w:rPr>
          <w:rFonts w:eastAsia="黑体"/>
          <w:sz w:val="30"/>
        </w:rPr>
      </w:pPr>
    </w:p>
    <w:p w14:paraId="140092B3">
      <w:pPr>
        <w:rPr>
          <w:b/>
          <w:sz w:val="30"/>
          <w:szCs w:val="30"/>
        </w:rPr>
      </w:pPr>
      <w:r>
        <w:rPr>
          <w:b/>
          <w:sz w:val="30"/>
          <w:szCs w:val="30"/>
        </w:rPr>
        <w:t xml:space="preserve">P                                        </w:t>
      </w:r>
      <w:r>
        <w:rPr>
          <w:sz w:val="30"/>
          <w:szCs w:val="30"/>
        </w:rPr>
        <w:t>GB51039－2014</w:t>
      </w:r>
    </w:p>
    <w:p w14:paraId="75089226">
      <w:pPr>
        <w:rPr>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435600" cy="0"/>
                <wp:effectExtent l="0" t="0" r="31750" b="19050"/>
                <wp:wrapNone/>
                <wp:docPr id="2" name="直线 3"/>
                <wp:cNvGraphicFramePr/>
                <a:graphic xmlns:a="http://schemas.openxmlformats.org/drawingml/2006/main">
                  <a:graphicData uri="http://schemas.microsoft.com/office/word/2010/wordprocessingShape">
                    <wps:wsp>
                      <wps:cNvCnPr>
                        <a:cxnSpLocks noChangeShapeType="1"/>
                      </wps:cNvCnPr>
                      <wps:spPr bwMode="auto">
                        <a:xfrm flipV="1">
                          <a:off x="0" y="0"/>
                          <a:ext cx="5435600" cy="0"/>
                        </a:xfrm>
                        <a:prstGeom prst="line">
                          <a:avLst/>
                        </a:prstGeom>
                        <a:noFill/>
                        <a:ln w="9525">
                          <a:solidFill>
                            <a:srgbClr val="000000"/>
                          </a:solidFill>
                          <a:round/>
                        </a:ln>
                      </wps:spPr>
                      <wps:bodyPr/>
                    </wps:wsp>
                  </a:graphicData>
                </a:graphic>
              </wp:anchor>
            </w:drawing>
          </mc:Choice>
          <mc:Fallback>
            <w:pict>
              <v:line id="直线 3" o:spid="_x0000_s1026" o:spt="20" style="position:absolute;left:0pt;flip:y;margin-left:-1.5pt;margin-top:3.9pt;height:0pt;width:428pt;z-index:251659264;mso-width-relative:page;mso-height-relative:page;" filled="f" stroked="t" coordsize="21600,21600" o:gfxdata="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BSvezTAAAABgEAAA8AAAAAAAAA&#10;AQAgAAAAIgAAAGRycy9kb3ducmV2LnhtbFBLAQIUABQAAAAIAIdO4kBW5Uro3QEAAKsDAAAOAAAA&#10;AAAAAAEAIAAAACIBAABkcnMvZTJvRG9jLnhtbFBLBQYAAAAABgAGAFkBAABxBQAAAAA=&#10;">
                <v:fill on="f" focussize="0,0"/>
                <v:stroke color="#000000" joinstyle="round"/>
                <v:imagedata o:title=""/>
                <o:lock v:ext="edit" aspectratio="f"/>
              </v:line>
            </w:pict>
          </mc:Fallback>
        </mc:AlternateContent>
      </w:r>
    </w:p>
    <w:p w14:paraId="64DBB3B0">
      <w:pPr>
        <w:rPr>
          <w:sz w:val="28"/>
        </w:rPr>
      </w:pPr>
    </w:p>
    <w:p w14:paraId="5B8958C1">
      <w:pPr>
        <w:spacing w:after="156" w:afterLines="50"/>
        <w:jc w:val="center"/>
        <w:rPr>
          <w:rFonts w:ascii="黑体" w:hAnsi="黑体" w:eastAsia="黑体"/>
          <w:b/>
          <w:sz w:val="44"/>
        </w:rPr>
      </w:pPr>
      <w:r>
        <w:rPr>
          <w:rFonts w:hint="eastAsia" w:ascii="黑体" w:hAnsi="黑体" w:eastAsia="黑体"/>
          <w:b/>
          <w:sz w:val="44"/>
        </w:rPr>
        <w:t>综合医院建筑设计规范</w:t>
      </w:r>
    </w:p>
    <w:p w14:paraId="3F1EBA95">
      <w:pPr>
        <w:jc w:val="center"/>
        <w:rPr>
          <w:sz w:val="36"/>
          <w:szCs w:val="36"/>
        </w:rPr>
      </w:pPr>
      <w:r>
        <w:rPr>
          <w:sz w:val="36"/>
          <w:szCs w:val="36"/>
        </w:rPr>
        <w:t>Code for design of general hospital</w:t>
      </w:r>
    </w:p>
    <w:p w14:paraId="18E8B123">
      <w:pPr>
        <w:rPr>
          <w:sz w:val="28"/>
        </w:rPr>
      </w:pPr>
    </w:p>
    <w:p w14:paraId="31E03860">
      <w:pPr>
        <w:jc w:val="center"/>
        <w:rPr>
          <w:sz w:val="36"/>
          <w:szCs w:val="36"/>
        </w:rPr>
      </w:pPr>
      <w:r>
        <w:rPr>
          <w:sz w:val="36"/>
          <w:szCs w:val="36"/>
        </w:rPr>
        <w:t>（局部修订条文征求意见稿）</w:t>
      </w:r>
    </w:p>
    <w:p w14:paraId="01DF783F">
      <w:pPr>
        <w:rPr>
          <w:sz w:val="28"/>
        </w:rPr>
      </w:pPr>
    </w:p>
    <w:p w14:paraId="7514B34B">
      <w:pPr>
        <w:rPr>
          <w:sz w:val="28"/>
        </w:rPr>
      </w:pPr>
    </w:p>
    <w:p w14:paraId="362F3D1C">
      <w:pPr>
        <w:rPr>
          <w:sz w:val="28"/>
        </w:rPr>
      </w:pPr>
    </w:p>
    <w:p w14:paraId="4D482520">
      <w:pPr>
        <w:rPr>
          <w:sz w:val="28"/>
        </w:rPr>
      </w:pPr>
    </w:p>
    <w:p w14:paraId="63C5212D">
      <w:pPr>
        <w:rPr>
          <w:sz w:val="28"/>
        </w:rPr>
      </w:pPr>
    </w:p>
    <w:p w14:paraId="1C96B269">
      <w:pPr>
        <w:rPr>
          <w:sz w:val="28"/>
        </w:rPr>
      </w:pPr>
    </w:p>
    <w:p w14:paraId="5C4731AC">
      <w:pPr>
        <w:ind w:left="-840" w:leftChars="-350" w:firstLine="750" w:firstLineChars="250"/>
        <w:jc w:val="left"/>
        <w:rPr>
          <w:rFonts w:ascii="黑体" w:hAnsi="黑体" w:eastAsia="黑体"/>
          <w:sz w:val="30"/>
          <w:szCs w:val="30"/>
          <w:u w:val="single"/>
        </w:rPr>
      </w:pPr>
      <w:r>
        <w:rPr>
          <w:rFonts w:eastAsia="黑体"/>
          <w:sz w:val="30"/>
          <w:szCs w:val="30"/>
          <w:u w:val="single"/>
        </w:rPr>
        <w:t>20</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 xml:space="preserve">发布               </w:t>
      </w:r>
      <w:r>
        <w:rPr>
          <w:rFonts w:hint="eastAsia" w:eastAsia="黑体"/>
          <w:sz w:val="30"/>
          <w:szCs w:val="30"/>
          <w:u w:val="single"/>
        </w:rPr>
        <w:t>20</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实施</w:t>
      </w:r>
    </w:p>
    <w:p w14:paraId="324970EC">
      <w:pPr>
        <w:adjustRightInd w:val="0"/>
        <w:snapToGrid w:val="0"/>
        <w:spacing w:line="240" w:lineRule="atLeast"/>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0</wp:posOffset>
                </wp:positionV>
                <wp:extent cx="2109470" cy="487680"/>
                <wp:effectExtent l="0" t="0" r="0" b="7620"/>
                <wp:wrapNone/>
                <wp:docPr id="4" name="文本框 4"/>
                <wp:cNvGraphicFramePr/>
                <a:graphic xmlns:a="http://schemas.openxmlformats.org/drawingml/2006/main">
                  <a:graphicData uri="http://schemas.microsoft.com/office/word/2010/wordprocessingShape">
                    <wps:wsp>
                      <wps:cNvSpPr txBox="1"/>
                      <wps:spPr>
                        <a:xfrm>
                          <a:off x="0" y="0"/>
                          <a:ext cx="2109470" cy="487680"/>
                        </a:xfrm>
                        <a:prstGeom prst="rect">
                          <a:avLst/>
                        </a:prstGeom>
                        <a:noFill/>
                        <a:ln>
                          <a:noFill/>
                        </a:ln>
                      </wps:spPr>
                      <wps:txbx>
                        <w:txbxContent>
                          <w:p w14:paraId="2CEB3C7F">
                            <w:pPr>
                              <w:rPr>
                                <w:rFonts w:ascii="黑体" w:hAnsi="黑体" w:eastAsia="黑体"/>
                              </w:rPr>
                            </w:pPr>
                            <w:r>
                              <w:rPr>
                                <w:rFonts w:hint="eastAsia" w:ascii="黑体" w:hAnsi="黑体" w:eastAsia="黑体"/>
                                <w:sz w:val="32"/>
                                <w:szCs w:val="32"/>
                              </w:rPr>
                              <w:t>联合发布</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4pt;margin-top:0pt;height:38.4pt;width:166.1pt;z-index:251661312;mso-width-relative:margin;mso-height-relative:margin;mso-width-percent:400;mso-height-percent:200;" filled="f" stroked="f" coordsize="21600,21600" o:gfxdata="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GBaO1wAAAAcBAAAPAAAAAAAAAAEAIAAAACIAAABkcnMvZG93bnJldi54bWxQSwECFAAU&#10;AAAACACHTuJAXU5LOrkBAABoAwAADgAAAAAAAAABACAAAAAmAQAAZHJzL2Uyb0RvYy54bWxQSwUG&#10;AAAAAAYABgBZAQAAUQUAAAAA&#10;">
                <v:fill on="f" focussize="0,0"/>
                <v:stroke on="f"/>
                <v:imagedata o:title=""/>
                <o:lock v:ext="edit" aspectratio="f"/>
                <v:textbox style="mso-fit-shape-to-text:t;">
                  <w:txbxContent>
                    <w:p w14:paraId="2CEB3C7F">
                      <w:pPr>
                        <w:rPr>
                          <w:rFonts w:ascii="黑体" w:hAnsi="黑体" w:eastAsia="黑体"/>
                        </w:rPr>
                      </w:pPr>
                      <w:r>
                        <w:rPr>
                          <w:rFonts w:hint="eastAsia" w:ascii="黑体" w:hAnsi="黑体" w:eastAsia="黑体"/>
                          <w:sz w:val="32"/>
                          <w:szCs w:val="32"/>
                        </w:rPr>
                        <w:t>联合发布</w:t>
                      </w:r>
                    </w:p>
                  </w:txbxContent>
                </v:textbox>
              </v:shape>
            </w:pict>
          </mc:Fallback>
        </mc:AlternateContent>
      </w:r>
      <w:r>
        <w:rPr>
          <w:rFonts w:ascii="黑体" w:hAnsi="黑体" w:eastAsia="黑体"/>
          <w:sz w:val="36"/>
          <w:szCs w:val="36"/>
        </w:rPr>
        <w:t>中华人民共和国住房和城乡建设部</w:t>
      </w:r>
    </w:p>
    <w:p w14:paraId="467DD49E">
      <w:pPr>
        <w:rPr>
          <w:rFonts w:ascii="黑体" w:hAnsi="黑体" w:eastAsia="黑体"/>
          <w:sz w:val="36"/>
          <w:szCs w:val="36"/>
        </w:rPr>
      </w:pPr>
      <w:r>
        <w:rPr>
          <w:rFonts w:ascii="黑体" w:hAnsi="黑体" w:eastAsia="黑体"/>
          <w:sz w:val="36"/>
          <w:szCs w:val="36"/>
        </w:rPr>
        <w:t>国 家 市 场 监 督 管 理 总 局</w:t>
      </w:r>
    </w:p>
    <w:p w14:paraId="645284CB">
      <w:pPr>
        <w:sectPr>
          <w:footerReference r:id="rId5" w:type="even"/>
          <w:pgSz w:w="11906" w:h="16838"/>
          <w:pgMar w:top="1440" w:right="1800" w:bottom="1440" w:left="1800" w:header="851" w:footer="992" w:gutter="0"/>
          <w:cols w:space="720" w:num="1"/>
          <w:docGrid w:type="lines" w:linePitch="312" w:charSpace="0"/>
        </w:sectPr>
      </w:pPr>
    </w:p>
    <w:p w14:paraId="4CBD3FF4">
      <w:pPr>
        <w:jc w:val="center"/>
        <w:rPr>
          <w:b/>
          <w:sz w:val="32"/>
          <w:szCs w:val="32"/>
        </w:rPr>
      </w:pPr>
      <w:r>
        <w:rPr>
          <w:b/>
          <w:sz w:val="32"/>
          <w:szCs w:val="32"/>
        </w:rPr>
        <w:t>《</w:t>
      </w:r>
      <w:r>
        <w:rPr>
          <w:rFonts w:hint="eastAsia"/>
          <w:b/>
          <w:sz w:val="32"/>
          <w:szCs w:val="32"/>
        </w:rPr>
        <w:t>综合医院建筑设计规范</w:t>
      </w:r>
      <w:r>
        <w:rPr>
          <w:b/>
          <w:sz w:val="32"/>
          <w:szCs w:val="32"/>
        </w:rPr>
        <w:t>》GB 51039-2014</w:t>
      </w:r>
    </w:p>
    <w:p w14:paraId="134B562D">
      <w:pPr>
        <w:spacing w:before="156" w:beforeLines="50" w:after="156" w:afterLines="50"/>
        <w:jc w:val="center"/>
        <w:rPr>
          <w:b/>
          <w:sz w:val="32"/>
          <w:szCs w:val="32"/>
        </w:rPr>
      </w:pPr>
      <w:r>
        <w:rPr>
          <w:b/>
          <w:sz w:val="32"/>
          <w:szCs w:val="32"/>
        </w:rPr>
        <w:t>局部修订条文对照表</w:t>
      </w:r>
    </w:p>
    <w:p w14:paraId="4C35AA5A">
      <w:pPr>
        <w:jc w:val="center"/>
        <w:rPr>
          <w:rFonts w:eastAsia="楷体"/>
          <w:b/>
          <w:sz w:val="28"/>
        </w:rPr>
      </w:pPr>
      <w:r>
        <w:rPr>
          <w:rFonts w:eastAsia="楷体"/>
          <w:b/>
          <w:sz w:val="28"/>
        </w:rPr>
        <w:t>（方框部分为删除内容，下划线部分为增加内容）</w:t>
      </w:r>
    </w:p>
    <w:tbl>
      <w:tblPr>
        <w:tblStyle w:val="20"/>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4261"/>
      </w:tblGrid>
      <w:tr w14:paraId="39E95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4261" w:type="dxa"/>
            <w:vAlign w:val="center"/>
          </w:tcPr>
          <w:p w14:paraId="2A232E86">
            <w:pPr>
              <w:adjustRightInd w:val="0"/>
              <w:snapToGrid w:val="0"/>
              <w:jc w:val="center"/>
              <w:rPr>
                <w:rFonts w:eastAsia="宋体"/>
              </w:rPr>
            </w:pPr>
            <w:r>
              <w:rPr>
                <w:rFonts w:eastAsia="宋体"/>
              </w:rPr>
              <w:t>现行《规范》条文</w:t>
            </w:r>
          </w:p>
        </w:tc>
        <w:tc>
          <w:tcPr>
            <w:tcW w:w="4261" w:type="dxa"/>
            <w:vAlign w:val="center"/>
          </w:tcPr>
          <w:p w14:paraId="22BCA3EC">
            <w:pPr>
              <w:adjustRightInd w:val="0"/>
              <w:snapToGrid w:val="0"/>
              <w:jc w:val="center"/>
              <w:rPr>
                <w:rFonts w:eastAsia="宋体"/>
              </w:rPr>
            </w:pPr>
            <w:r>
              <w:rPr>
                <w:rFonts w:eastAsia="宋体"/>
              </w:rPr>
              <w:t>修订征求意见稿</w:t>
            </w:r>
          </w:p>
        </w:tc>
      </w:tr>
      <w:tr w14:paraId="78A16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76F9B2D">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1.总则</w:t>
            </w:r>
          </w:p>
        </w:tc>
        <w:tc>
          <w:tcPr>
            <w:tcW w:w="4261" w:type="dxa"/>
          </w:tcPr>
          <w:p w14:paraId="1FA0D894">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1.总则</w:t>
            </w:r>
          </w:p>
        </w:tc>
      </w:tr>
      <w:tr w14:paraId="21370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05D8E1">
            <w:r>
              <w:rPr>
                <w:rFonts w:hint="eastAsia" w:cs="黑体" w:asciiTheme="minorEastAsia" w:hAnsiTheme="minorEastAsia"/>
              </w:rPr>
              <w:t>1.0.1 为规范综合医院建筑设计，满足医疗服务功能需要，符合安全、</w:t>
            </w:r>
            <w:r>
              <w:rPr>
                <w:rFonts w:hint="eastAsia" w:cs="黑体" w:asciiTheme="minorEastAsia" w:hAnsiTheme="minorEastAsia"/>
                <w:bdr w:val="single" w:color="auto" w:sz="4" w:space="0"/>
              </w:rPr>
              <w:t>卫生、</w:t>
            </w:r>
            <w:r>
              <w:rPr>
                <w:rFonts w:hint="eastAsia" w:cs="黑体" w:asciiTheme="minorEastAsia" w:hAnsiTheme="minorEastAsia"/>
              </w:rPr>
              <w:t>经济</w:t>
            </w:r>
            <w:r>
              <w:rPr>
                <w:rFonts w:hint="eastAsia" w:cs="黑体" w:asciiTheme="minorEastAsia" w:hAnsiTheme="minorEastAsia"/>
                <w:bdr w:val="single" w:color="auto" w:sz="4" w:space="0"/>
              </w:rPr>
              <w:t>、</w:t>
            </w:r>
            <w:r>
              <w:rPr>
                <w:rFonts w:hint="eastAsia" w:cs="黑体" w:asciiTheme="minorEastAsia" w:hAnsiTheme="minorEastAsia"/>
              </w:rPr>
              <w:t>适用、</w:t>
            </w:r>
            <w:r>
              <w:rPr>
                <w:rFonts w:hint="eastAsia" w:cs="黑体" w:asciiTheme="minorEastAsia" w:hAnsiTheme="minorEastAsia"/>
                <w:bdr w:val="single" w:color="auto" w:sz="4" w:space="0"/>
              </w:rPr>
              <w:t>节能</w:t>
            </w:r>
            <w:r>
              <w:rPr>
                <w:rFonts w:cs="黑体" w:asciiTheme="minorEastAsia" w:hAnsiTheme="minorEastAsia"/>
                <w:bdr w:val="single" w:color="auto" w:sz="4" w:space="0"/>
              </w:rPr>
              <w:t>、</w:t>
            </w:r>
            <w:r>
              <w:rPr>
                <w:rFonts w:hint="eastAsia" w:cs="黑体" w:asciiTheme="minorEastAsia" w:hAnsiTheme="minorEastAsia"/>
              </w:rPr>
              <w:t>环保等方面的要求，制定本规范。</w:t>
            </w:r>
          </w:p>
        </w:tc>
        <w:tc>
          <w:tcPr>
            <w:tcW w:w="4261" w:type="dxa"/>
          </w:tcPr>
          <w:p w14:paraId="725E2825">
            <w:r>
              <w:rPr>
                <w:rFonts w:hint="eastAsia" w:cs="黑体" w:asciiTheme="minorEastAsia" w:hAnsiTheme="minorEastAsia"/>
              </w:rPr>
              <w:t>1.0.1 为规范综合医院建筑设计，</w:t>
            </w:r>
            <w:r>
              <w:rPr>
                <w:rFonts w:hint="eastAsia" w:cs="黑体" w:asciiTheme="minorEastAsia" w:hAnsiTheme="minorEastAsia"/>
                <w:u w:val="single"/>
              </w:rPr>
              <w:t>坚持以人民健康为中心，</w:t>
            </w:r>
            <w:r>
              <w:rPr>
                <w:rFonts w:hint="eastAsia" w:cs="黑体" w:asciiTheme="minorEastAsia" w:hAnsiTheme="minorEastAsia"/>
              </w:rPr>
              <w:t>满足</w:t>
            </w:r>
            <w:r>
              <w:rPr>
                <w:rFonts w:hint="eastAsia" w:cs="黑体" w:asciiTheme="minorEastAsia" w:hAnsiTheme="minorEastAsia"/>
                <w:u w:val="single"/>
              </w:rPr>
              <w:t>新时代</w:t>
            </w:r>
            <w:r>
              <w:rPr>
                <w:rFonts w:hint="eastAsia" w:cs="黑体" w:asciiTheme="minorEastAsia" w:hAnsiTheme="minorEastAsia"/>
              </w:rPr>
              <w:t>医疗服务功能需要，符合</w:t>
            </w:r>
            <w:r>
              <w:rPr>
                <w:rFonts w:hint="eastAsia" w:cs="黑体" w:asciiTheme="minorEastAsia" w:hAnsiTheme="minorEastAsia"/>
                <w:u w:val="single"/>
              </w:rPr>
              <w:t>医防融合、平急结合、</w:t>
            </w:r>
            <w:r>
              <w:rPr>
                <w:rFonts w:hint="eastAsia" w:cs="黑体" w:asciiTheme="minorEastAsia" w:hAnsiTheme="minorEastAsia"/>
              </w:rPr>
              <w:t>安全</w:t>
            </w:r>
            <w:r>
              <w:rPr>
                <w:rFonts w:hint="eastAsia" w:cs="黑体" w:asciiTheme="minorEastAsia" w:hAnsiTheme="minorEastAsia"/>
                <w:u w:val="single"/>
              </w:rPr>
              <w:t>高效</w:t>
            </w:r>
            <w:r>
              <w:rPr>
                <w:rFonts w:hint="eastAsia" w:cs="黑体" w:asciiTheme="minorEastAsia" w:hAnsiTheme="minorEastAsia"/>
              </w:rPr>
              <w:t>、经济适用、</w:t>
            </w:r>
            <w:r>
              <w:rPr>
                <w:rFonts w:hint="eastAsia" w:cs="黑体" w:asciiTheme="minorEastAsia" w:hAnsiTheme="minorEastAsia"/>
                <w:u w:val="single"/>
              </w:rPr>
              <w:t>绿色</w:t>
            </w:r>
            <w:r>
              <w:rPr>
                <w:rFonts w:hint="eastAsia" w:cs="黑体" w:asciiTheme="minorEastAsia" w:hAnsiTheme="minorEastAsia"/>
              </w:rPr>
              <w:t>环保</w:t>
            </w:r>
            <w:r>
              <w:rPr>
                <w:rFonts w:hint="eastAsia" w:cs="黑体" w:asciiTheme="minorEastAsia" w:hAnsiTheme="minorEastAsia"/>
                <w:u w:val="single"/>
              </w:rPr>
              <w:t>、智慧健康</w:t>
            </w:r>
            <w:r>
              <w:rPr>
                <w:rFonts w:hint="eastAsia" w:cs="黑体" w:asciiTheme="minorEastAsia" w:hAnsiTheme="minorEastAsia"/>
              </w:rPr>
              <w:t>等方面的要求，</w:t>
            </w:r>
            <w:r>
              <w:rPr>
                <w:rFonts w:hint="eastAsia" w:cs="黑体" w:asciiTheme="minorEastAsia" w:hAnsiTheme="minorEastAsia"/>
                <w:u w:val="single"/>
              </w:rPr>
              <w:t>推动医院建设高质量发展</w:t>
            </w:r>
            <w:r>
              <w:rPr>
                <w:rFonts w:cs="黑体" w:asciiTheme="minorEastAsia" w:hAnsiTheme="minorEastAsia"/>
                <w:u w:val="single"/>
              </w:rPr>
              <w:t>，</w:t>
            </w:r>
            <w:r>
              <w:rPr>
                <w:rFonts w:hint="eastAsia" w:cs="黑体" w:asciiTheme="minorEastAsia" w:hAnsiTheme="minorEastAsia"/>
              </w:rPr>
              <w:t>制定本规范。</w:t>
            </w:r>
          </w:p>
        </w:tc>
      </w:tr>
      <w:tr w14:paraId="1E58B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861199E">
            <w:r>
              <w:rPr>
                <w:rFonts w:hint="eastAsia" w:cs="黑体" w:asciiTheme="minorEastAsia" w:hAnsiTheme="minorEastAsia"/>
              </w:rPr>
              <w:t>1.0.2 本规范适用于新建、改建和扩建的综合医院的建筑设计。</w:t>
            </w:r>
          </w:p>
        </w:tc>
        <w:tc>
          <w:tcPr>
            <w:tcW w:w="4261" w:type="dxa"/>
          </w:tcPr>
          <w:p w14:paraId="20209DF7">
            <w:r>
              <w:rPr>
                <w:rFonts w:hint="eastAsia" w:cs="黑体" w:asciiTheme="minorEastAsia" w:hAnsiTheme="minorEastAsia"/>
              </w:rPr>
              <w:t>1.0.2 本规范适用于新建、改建和扩建的综合医院的建筑设计。</w:t>
            </w:r>
            <w:r>
              <w:rPr>
                <w:rFonts w:hint="eastAsia" w:cs="黑体" w:asciiTheme="minorEastAsia" w:hAnsiTheme="minorEastAsia"/>
                <w:u w:val="single"/>
              </w:rPr>
              <w:t>其他医疗工程项目</w:t>
            </w:r>
            <w:r>
              <w:rPr>
                <w:rFonts w:cs="黑体" w:asciiTheme="minorEastAsia" w:hAnsiTheme="minorEastAsia"/>
                <w:u w:val="single"/>
              </w:rPr>
              <w:t>可参照执行。</w:t>
            </w:r>
          </w:p>
        </w:tc>
      </w:tr>
      <w:tr w14:paraId="3DEF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F022574">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2.术语</w:t>
            </w:r>
          </w:p>
        </w:tc>
        <w:tc>
          <w:tcPr>
            <w:tcW w:w="4261" w:type="dxa"/>
          </w:tcPr>
          <w:p w14:paraId="7063C0FC">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2.术语</w:t>
            </w:r>
            <w:r>
              <w:rPr>
                <w:rFonts w:hint="eastAsia" w:asciiTheme="minorEastAsia" w:hAnsiTheme="minorEastAsia"/>
                <w:b w:val="0"/>
                <w:sz w:val="24"/>
                <w:szCs w:val="24"/>
                <w:u w:val="single"/>
              </w:rPr>
              <w:t>和缩略语</w:t>
            </w:r>
          </w:p>
        </w:tc>
      </w:tr>
      <w:tr w14:paraId="69C71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4821DD5">
            <w:pPr>
              <w:rPr>
                <w:rFonts w:ascii="宋体" w:hAnsi="宋体" w:eastAsia="宋体"/>
                <w:bCs/>
              </w:rPr>
            </w:pPr>
            <w:r>
              <w:rPr>
                <w:rFonts w:hint="eastAsia" w:ascii="宋体" w:hAnsi="宋体" w:eastAsia="宋体"/>
                <w:bCs/>
              </w:rPr>
              <w:t xml:space="preserve">2.0.1 综合医院 </w:t>
            </w:r>
            <w:r>
              <w:rPr>
                <w:rFonts w:ascii="宋体" w:hAnsi="宋体" w:eastAsia="宋体" w:cs="黑体"/>
                <w:bdr w:val="single" w:color="auto" w:sz="4" w:space="0"/>
              </w:rPr>
              <w:t>g</w:t>
            </w:r>
            <w:r>
              <w:rPr>
                <w:rFonts w:hint="eastAsia" w:ascii="宋体" w:hAnsi="宋体" w:eastAsia="宋体"/>
                <w:bCs/>
              </w:rPr>
              <w:t>eneral hospital</w:t>
            </w:r>
          </w:p>
          <w:p w14:paraId="2EBF3A83">
            <w:pPr>
              <w:ind w:firstLine="480" w:firstLineChars="200"/>
            </w:pPr>
            <w:r>
              <w:rPr>
                <w:rFonts w:hint="eastAsia" w:ascii="宋体" w:hAnsi="宋体" w:eastAsia="宋体"/>
                <w:bCs/>
              </w:rPr>
              <w:t>有一定数量的病床，分设内科、外科、妇科、儿科、眼科、耳鼻喉科等各种科室及药剂、检验、放射等医技部门，拥有相应人员、设备的医院。</w:t>
            </w:r>
          </w:p>
        </w:tc>
        <w:tc>
          <w:tcPr>
            <w:tcW w:w="4261" w:type="dxa"/>
          </w:tcPr>
          <w:p w14:paraId="79348E06">
            <w:pPr>
              <w:rPr>
                <w:rFonts w:ascii="宋体" w:hAnsi="宋体" w:eastAsia="宋体"/>
                <w:bCs/>
              </w:rPr>
            </w:pPr>
            <w:r>
              <w:rPr>
                <w:rFonts w:hint="eastAsia" w:ascii="宋体" w:hAnsi="宋体" w:eastAsia="宋体"/>
                <w:bCs/>
              </w:rPr>
              <w:t xml:space="preserve">2.0.1 综合医院 </w:t>
            </w:r>
            <w:r>
              <w:rPr>
                <w:rFonts w:ascii="宋体" w:hAnsi="宋体" w:eastAsia="宋体"/>
                <w:bCs/>
                <w:u w:val="single"/>
              </w:rPr>
              <w:t>G</w:t>
            </w:r>
            <w:r>
              <w:rPr>
                <w:rFonts w:hint="eastAsia" w:ascii="宋体" w:hAnsi="宋体" w:eastAsia="宋体"/>
                <w:bCs/>
              </w:rPr>
              <w:t>eneral hospital</w:t>
            </w:r>
          </w:p>
          <w:p w14:paraId="70398598">
            <w:pPr>
              <w:ind w:firstLine="480" w:firstLineChars="200"/>
            </w:pPr>
            <w:r>
              <w:rPr>
                <w:rFonts w:hint="eastAsia" w:ascii="宋体" w:hAnsi="宋体" w:eastAsia="宋体"/>
                <w:bCs/>
              </w:rPr>
              <w:t>有一定数量的病床，分设内科、外科、妇科、儿科、眼科、耳鼻喉科等各种科室及药剂、检验、放射等医技部门，拥有相应人员、设备的医院。</w:t>
            </w:r>
          </w:p>
        </w:tc>
      </w:tr>
      <w:tr w14:paraId="47D25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6C43031">
            <w:pPr>
              <w:rPr>
                <w:rFonts w:ascii="宋体" w:hAnsi="宋体" w:eastAsia="宋体"/>
                <w:bCs/>
              </w:rPr>
            </w:pPr>
            <w:r>
              <w:rPr>
                <w:rFonts w:hint="eastAsia" w:ascii="宋体" w:hAnsi="宋体" w:eastAsia="宋体"/>
                <w:bCs/>
              </w:rPr>
              <w:t>2.0.2 医疗工艺</w:t>
            </w:r>
            <w:r>
              <w:rPr>
                <w:rFonts w:ascii="宋体" w:hAnsi="宋体" w:eastAsia="宋体"/>
                <w:bCs/>
              </w:rPr>
              <w:t xml:space="preserve"> Medical process</w:t>
            </w:r>
          </w:p>
          <w:p w14:paraId="7F79761A">
            <w:pPr>
              <w:ind w:firstLine="480" w:firstLineChars="200"/>
            </w:pPr>
            <w:r>
              <w:rPr>
                <w:rFonts w:hint="eastAsia" w:ascii="宋体" w:hAnsi="宋体" w:eastAsia="宋体"/>
                <w:bCs/>
                <w:bdr w:val="single" w:color="auto" w:sz="4" w:space="0"/>
              </w:rPr>
              <w:t>医疗流程和医疗设备的匹配，以及其他相关资源的配置。</w:t>
            </w:r>
          </w:p>
        </w:tc>
        <w:tc>
          <w:tcPr>
            <w:tcW w:w="4261" w:type="dxa"/>
          </w:tcPr>
          <w:p w14:paraId="71B4CD63">
            <w:pPr>
              <w:rPr>
                <w:rFonts w:ascii="宋体" w:hAnsi="宋体" w:eastAsia="宋体"/>
                <w:bCs/>
              </w:rPr>
            </w:pPr>
            <w:r>
              <w:rPr>
                <w:rFonts w:hint="eastAsia" w:ascii="宋体" w:hAnsi="宋体" w:eastAsia="宋体"/>
                <w:bCs/>
              </w:rPr>
              <w:t>2.0.2 医疗工艺</w:t>
            </w:r>
            <w:r>
              <w:rPr>
                <w:rFonts w:ascii="宋体" w:hAnsi="宋体" w:eastAsia="宋体"/>
                <w:bCs/>
              </w:rPr>
              <w:t xml:space="preserve"> Medical process</w:t>
            </w:r>
          </w:p>
          <w:p w14:paraId="4038383D">
            <w:pPr>
              <w:ind w:firstLine="480" w:firstLineChars="200"/>
            </w:pPr>
            <w:r>
              <w:rPr>
                <w:rFonts w:hint="eastAsia" w:ascii="宋体" w:hAnsi="宋体" w:eastAsia="宋体"/>
                <w:bCs/>
                <w:u w:val="single"/>
              </w:rPr>
              <w:t>基于医疗功能与建筑相匹配的医疗流程、流程条件及资源等工艺要求。</w:t>
            </w:r>
          </w:p>
        </w:tc>
      </w:tr>
      <w:tr w14:paraId="2EDBB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C6AC1F6">
            <w:pPr>
              <w:rPr>
                <w:rFonts w:ascii="宋体" w:hAnsi="宋体" w:eastAsia="宋体"/>
                <w:bCs/>
              </w:rPr>
            </w:pPr>
            <w:r>
              <w:rPr>
                <w:rFonts w:hint="eastAsia" w:ascii="宋体" w:hAnsi="宋体" w:eastAsia="宋体"/>
                <w:bCs/>
              </w:rPr>
              <w:t>2.0.5</w:t>
            </w:r>
            <w:r>
              <w:rPr>
                <w:rFonts w:ascii="宋体" w:hAnsi="宋体" w:eastAsia="宋体"/>
                <w:bCs/>
              </w:rPr>
              <w:t xml:space="preserve"> </w:t>
            </w:r>
            <w:r>
              <w:rPr>
                <w:rFonts w:hint="eastAsia" w:ascii="宋体" w:hAnsi="宋体" w:eastAsia="宋体"/>
                <w:bCs/>
              </w:rPr>
              <w:t>医院卫生学 Hospital hygiene</w:t>
            </w:r>
          </w:p>
          <w:p w14:paraId="569FEB48">
            <w:pPr>
              <w:ind w:firstLine="480" w:firstLineChars="200"/>
            </w:pPr>
            <w:r>
              <w:rPr>
                <w:rFonts w:hint="eastAsia" w:ascii="宋体" w:hAnsi="宋体" w:eastAsia="宋体"/>
                <w:bCs/>
                <w:bdr w:val="single" w:color="auto" w:sz="4" w:space="0"/>
              </w:rPr>
              <w:t>维持医院关键科室的卫生状态，主要任务是防止感染及有害气体和化学物质的危害。</w:t>
            </w:r>
          </w:p>
        </w:tc>
        <w:tc>
          <w:tcPr>
            <w:tcW w:w="4261" w:type="dxa"/>
          </w:tcPr>
          <w:p w14:paraId="50121F2B">
            <w:pPr>
              <w:rPr>
                <w:rFonts w:ascii="宋体" w:hAnsi="宋体" w:eastAsia="宋体"/>
                <w:bCs/>
              </w:rPr>
            </w:pPr>
            <w:r>
              <w:rPr>
                <w:rFonts w:hint="eastAsia" w:ascii="宋体" w:hAnsi="宋体" w:eastAsia="宋体"/>
                <w:bCs/>
              </w:rPr>
              <w:t>2.0.5</w:t>
            </w:r>
            <w:r>
              <w:rPr>
                <w:rFonts w:ascii="宋体" w:hAnsi="宋体" w:eastAsia="宋体"/>
                <w:bCs/>
              </w:rPr>
              <w:t xml:space="preserve"> </w:t>
            </w:r>
            <w:r>
              <w:rPr>
                <w:rFonts w:hint="eastAsia" w:ascii="宋体" w:hAnsi="宋体" w:eastAsia="宋体"/>
                <w:bCs/>
              </w:rPr>
              <w:t>医院卫生学 Hospital hygiene</w:t>
            </w:r>
          </w:p>
          <w:p w14:paraId="624291AE">
            <w:pPr>
              <w:ind w:firstLine="480" w:firstLineChars="200"/>
            </w:pPr>
            <w:r>
              <w:rPr>
                <w:rFonts w:hint="eastAsia" w:ascii="宋体" w:hAnsi="宋体" w:eastAsia="宋体"/>
                <w:bCs/>
                <w:u w:val="single"/>
              </w:rPr>
              <w:t>研究和应用防护技术，避免理化或生物因子对人体危害的专业学科。</w:t>
            </w:r>
          </w:p>
        </w:tc>
      </w:tr>
      <w:tr w14:paraId="0FDD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D214ED2">
            <w:pPr>
              <w:rPr>
                <w:rFonts w:ascii="宋体" w:hAnsi="宋体" w:eastAsia="宋体"/>
                <w:bCs/>
              </w:rPr>
            </w:pPr>
            <w:r>
              <w:rPr>
                <w:rFonts w:hint="eastAsia" w:ascii="宋体" w:hAnsi="宋体" w:eastAsia="宋体"/>
                <w:bCs/>
              </w:rPr>
              <w:t>2.0.6</w:t>
            </w:r>
            <w:r>
              <w:rPr>
                <w:rFonts w:ascii="宋体" w:hAnsi="宋体" w:eastAsia="宋体"/>
                <w:bCs/>
              </w:rPr>
              <w:t xml:space="preserve"> </w:t>
            </w:r>
            <w:r>
              <w:rPr>
                <w:rFonts w:hint="eastAsia" w:ascii="宋体" w:hAnsi="宋体" w:eastAsia="宋体"/>
                <w:bCs/>
              </w:rPr>
              <w:t>卫生通过 Hygiene passing through</w:t>
            </w:r>
          </w:p>
          <w:p w14:paraId="41D9ACA0">
            <w:pPr>
              <w:ind w:firstLine="480" w:firstLineChars="200"/>
              <w:rPr>
                <w:rFonts w:ascii="宋体" w:hAnsi="宋体" w:eastAsia="宋体"/>
                <w:bCs/>
              </w:rPr>
            </w:pPr>
            <w:r>
              <w:rPr>
                <w:rFonts w:hint="eastAsia" w:ascii="宋体" w:hAnsi="宋体" w:eastAsia="宋体"/>
                <w:bCs/>
                <w:bdr w:val="single" w:color="auto" w:sz="4" w:space="0"/>
              </w:rPr>
              <w:t>采用换鞋、更衣、淋浴等措施控制人员、物品从非洁净区到洁净区的净化过程。</w:t>
            </w:r>
          </w:p>
        </w:tc>
        <w:tc>
          <w:tcPr>
            <w:tcW w:w="4261" w:type="dxa"/>
          </w:tcPr>
          <w:p w14:paraId="56C043E6">
            <w:pPr>
              <w:rPr>
                <w:rFonts w:ascii="宋体" w:hAnsi="宋体" w:eastAsia="宋体"/>
                <w:bCs/>
              </w:rPr>
            </w:pPr>
            <w:r>
              <w:rPr>
                <w:rFonts w:hint="eastAsia" w:ascii="宋体" w:hAnsi="宋体" w:eastAsia="宋体"/>
                <w:bCs/>
              </w:rPr>
              <w:t>2.0.6</w:t>
            </w:r>
            <w:r>
              <w:rPr>
                <w:rFonts w:ascii="宋体" w:hAnsi="宋体" w:eastAsia="宋体"/>
                <w:bCs/>
              </w:rPr>
              <w:t xml:space="preserve"> </w:t>
            </w:r>
            <w:r>
              <w:rPr>
                <w:rFonts w:hint="eastAsia" w:ascii="宋体" w:hAnsi="宋体" w:eastAsia="宋体"/>
                <w:bCs/>
              </w:rPr>
              <w:t>卫生通过</w:t>
            </w:r>
            <w:r>
              <w:rPr>
                <w:rFonts w:ascii="宋体" w:hAnsi="宋体" w:eastAsia="宋体"/>
                <w:bCs/>
                <w:u w:val="single"/>
              </w:rPr>
              <w:t>区</w:t>
            </w:r>
            <w:r>
              <w:rPr>
                <w:rFonts w:hint="eastAsia" w:ascii="宋体" w:hAnsi="宋体" w:eastAsia="宋体"/>
                <w:bCs/>
              </w:rPr>
              <w:t xml:space="preserve"> Hygiene passing through</w:t>
            </w:r>
            <w:r>
              <w:rPr>
                <w:rFonts w:eastAsia="宋体"/>
                <w:sz w:val="30"/>
                <w:szCs w:val="30"/>
              </w:rPr>
              <w:t xml:space="preserve"> </w:t>
            </w:r>
            <w:r>
              <w:rPr>
                <w:rFonts w:ascii="宋体" w:hAnsi="宋体" w:eastAsia="宋体"/>
                <w:bCs/>
                <w:u w:val="single"/>
              </w:rPr>
              <w:t>area</w:t>
            </w:r>
          </w:p>
          <w:p w14:paraId="28F9BD3A">
            <w:pPr>
              <w:ind w:firstLine="480" w:firstLineChars="200"/>
              <w:rPr>
                <w:rFonts w:ascii="宋体" w:hAnsi="宋体" w:eastAsia="宋体"/>
                <w:bCs/>
              </w:rPr>
            </w:pPr>
            <w:r>
              <w:rPr>
                <w:rFonts w:ascii="宋体" w:hAnsi="宋体" w:eastAsia="宋体"/>
                <w:bCs/>
                <w:u w:val="single"/>
              </w:rPr>
              <w:t>设于</w:t>
            </w:r>
            <w:r>
              <w:rPr>
                <w:rFonts w:hint="eastAsia" w:ascii="宋体" w:hAnsi="宋体" w:eastAsia="宋体"/>
                <w:bCs/>
                <w:u w:val="single"/>
              </w:rPr>
              <w:t>不同</w:t>
            </w:r>
            <w:r>
              <w:rPr>
                <w:rFonts w:ascii="宋体" w:hAnsi="宋体" w:eastAsia="宋体"/>
                <w:bCs/>
                <w:u w:val="single"/>
              </w:rPr>
              <w:t>净化等级或</w:t>
            </w:r>
            <w:r>
              <w:rPr>
                <w:rFonts w:hint="eastAsia" w:ascii="宋体" w:hAnsi="宋体" w:eastAsia="宋体"/>
                <w:bCs/>
                <w:u w:val="single"/>
              </w:rPr>
              <w:t>感染</w:t>
            </w:r>
            <w:r>
              <w:rPr>
                <w:rFonts w:ascii="宋体" w:hAnsi="宋体" w:eastAsia="宋体"/>
                <w:bCs/>
                <w:u w:val="single"/>
              </w:rPr>
              <w:t>风险等级</w:t>
            </w:r>
            <w:r>
              <w:rPr>
                <w:rFonts w:hint="eastAsia" w:ascii="宋体" w:hAnsi="宋体" w:eastAsia="宋体"/>
                <w:bCs/>
                <w:u w:val="single"/>
              </w:rPr>
              <w:t>的区域</w:t>
            </w:r>
            <w:r>
              <w:rPr>
                <w:rFonts w:ascii="宋体" w:hAnsi="宋体" w:eastAsia="宋体"/>
                <w:bCs/>
                <w:u w:val="single"/>
              </w:rPr>
              <w:t>之间，供人员及物资进行卫生处置的区域。包括</w:t>
            </w:r>
            <w:r>
              <w:rPr>
                <w:rFonts w:hint="eastAsia" w:ascii="宋体" w:hAnsi="宋体" w:eastAsia="宋体"/>
                <w:bCs/>
                <w:u w:val="single"/>
              </w:rPr>
              <w:t>缓冲间、</w:t>
            </w:r>
            <w:r>
              <w:rPr>
                <w:rFonts w:ascii="宋体" w:hAnsi="宋体" w:eastAsia="宋体"/>
                <w:bCs/>
                <w:u w:val="single"/>
              </w:rPr>
              <w:t>换鞋、更衣、</w:t>
            </w:r>
            <w:r>
              <w:rPr>
                <w:rFonts w:hint="eastAsia" w:ascii="宋体" w:hAnsi="宋体" w:eastAsia="宋体"/>
                <w:bCs/>
                <w:u w:val="single"/>
              </w:rPr>
              <w:t>淋浴间</w:t>
            </w:r>
            <w:r>
              <w:rPr>
                <w:rFonts w:ascii="宋体" w:hAnsi="宋体" w:eastAsia="宋体"/>
                <w:bCs/>
                <w:u w:val="single"/>
              </w:rPr>
              <w:t>，以及</w:t>
            </w:r>
            <w:r>
              <w:rPr>
                <w:rFonts w:hint="eastAsia" w:ascii="宋体" w:hAnsi="宋体" w:eastAsia="宋体"/>
                <w:bCs/>
                <w:u w:val="single"/>
              </w:rPr>
              <w:t>相关</w:t>
            </w:r>
            <w:r>
              <w:rPr>
                <w:rFonts w:ascii="宋体" w:hAnsi="宋体" w:eastAsia="宋体"/>
                <w:bCs/>
                <w:u w:val="single"/>
              </w:rPr>
              <w:t>物资</w:t>
            </w:r>
            <w:r>
              <w:rPr>
                <w:rFonts w:hint="eastAsia" w:ascii="宋体" w:hAnsi="宋体" w:eastAsia="宋体"/>
                <w:bCs/>
                <w:u w:val="single"/>
              </w:rPr>
              <w:t>的</w:t>
            </w:r>
            <w:r>
              <w:rPr>
                <w:rFonts w:ascii="宋体" w:hAnsi="宋体" w:eastAsia="宋体"/>
                <w:bCs/>
                <w:u w:val="single"/>
              </w:rPr>
              <w:t>运送通道。</w:t>
            </w:r>
          </w:p>
        </w:tc>
      </w:tr>
      <w:tr w14:paraId="5CD9A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FFE52C8"/>
        </w:tc>
        <w:tc>
          <w:tcPr>
            <w:tcW w:w="4261" w:type="dxa"/>
          </w:tcPr>
          <w:p w14:paraId="4ABA85F1">
            <w:pPr>
              <w:rPr>
                <w:rFonts w:ascii="宋体" w:hAnsi="宋体" w:eastAsia="宋体"/>
                <w:u w:val="single"/>
              </w:rPr>
            </w:pPr>
            <w:r>
              <w:rPr>
                <w:rFonts w:hint="eastAsia" w:ascii="宋体" w:hAnsi="宋体" w:eastAsia="宋体"/>
                <w:u w:val="single"/>
              </w:rPr>
              <w:t>2.0.8</w:t>
            </w:r>
            <w:r>
              <w:rPr>
                <w:rFonts w:ascii="宋体" w:hAnsi="宋体" w:eastAsia="宋体"/>
                <w:u w:val="single"/>
              </w:rPr>
              <w:t xml:space="preserve"> </w:t>
            </w:r>
            <w:r>
              <w:rPr>
                <w:rFonts w:hint="eastAsia" w:ascii="宋体" w:hAnsi="宋体" w:eastAsia="宋体"/>
                <w:u w:val="single"/>
              </w:rPr>
              <w:t>“平疫结合”区</w:t>
            </w:r>
          </w:p>
          <w:p w14:paraId="70B14CBC">
            <w:pPr>
              <w:ind w:firstLine="480" w:firstLineChars="200"/>
            </w:pPr>
            <w:r>
              <w:rPr>
                <w:rFonts w:hint="eastAsia" w:asciiTheme="minorEastAsia" w:hAnsiTheme="minorEastAsia"/>
                <w:u w:val="single"/>
              </w:rPr>
              <w:t>根据区域卫生规划要求，在</w:t>
            </w:r>
            <w:r>
              <w:rPr>
                <w:rFonts w:asciiTheme="minorEastAsia" w:hAnsiTheme="minorEastAsia"/>
                <w:u w:val="single"/>
              </w:rPr>
              <w:t>承担相</w:t>
            </w:r>
            <w:r>
              <w:rPr>
                <w:rFonts w:hint="eastAsia" w:asciiTheme="minorEastAsia" w:hAnsiTheme="minorEastAsia"/>
                <w:u w:val="single"/>
              </w:rPr>
              <w:t>关</w:t>
            </w:r>
            <w:r>
              <w:rPr>
                <w:rFonts w:asciiTheme="minorEastAsia" w:hAnsiTheme="minorEastAsia"/>
                <w:u w:val="single"/>
              </w:rPr>
              <w:t>疫情救治任务</w:t>
            </w:r>
            <w:r>
              <w:rPr>
                <w:rFonts w:hint="eastAsia" w:asciiTheme="minorEastAsia" w:hAnsiTheme="minorEastAsia"/>
                <w:u w:val="single"/>
              </w:rPr>
              <w:t>的医院院区内设置的平时开展常规临床医疗工作，当发生重大疫情时，经过快速调整、改造，可开展疫情临床医疗救治工作的特定区域</w:t>
            </w:r>
            <w:r>
              <w:rPr>
                <w:rFonts w:hint="eastAsia" w:ascii="宋体" w:hAnsi="宋体" w:eastAsia="宋体"/>
                <w:u w:val="single"/>
              </w:rPr>
              <w:t>。</w:t>
            </w:r>
          </w:p>
        </w:tc>
      </w:tr>
      <w:tr w14:paraId="61C89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608350D"/>
        </w:tc>
        <w:tc>
          <w:tcPr>
            <w:tcW w:w="4261" w:type="dxa"/>
          </w:tcPr>
          <w:p w14:paraId="23E7F151">
            <w:pPr>
              <w:rPr>
                <w:rFonts w:ascii="宋体" w:hAnsi="宋体" w:eastAsia="宋体" w:cs="黑体"/>
                <w:u w:val="single"/>
              </w:rPr>
            </w:pPr>
            <w:r>
              <w:rPr>
                <w:rFonts w:hint="eastAsia" w:ascii="宋体" w:hAnsi="宋体" w:eastAsia="宋体" w:cs="黑体"/>
                <w:u w:val="single"/>
              </w:rPr>
              <w:t>2.0.9</w:t>
            </w:r>
            <w:r>
              <w:rPr>
                <w:rFonts w:ascii="宋体" w:hAnsi="宋体" w:eastAsia="宋体" w:cs="黑体"/>
                <w:u w:val="single"/>
              </w:rPr>
              <w:t xml:space="preserve"> </w:t>
            </w:r>
            <w:r>
              <w:rPr>
                <w:rFonts w:hint="eastAsia" w:ascii="宋体" w:hAnsi="宋体" w:eastAsia="宋体" w:cs="黑体"/>
                <w:u w:val="single"/>
              </w:rPr>
              <w:t>多学科治疗（MDT）</w:t>
            </w:r>
          </w:p>
          <w:p w14:paraId="14216FBE">
            <w:pPr>
              <w:ind w:firstLine="480" w:firstLineChars="200"/>
            </w:pPr>
            <w:r>
              <w:rPr>
                <w:rFonts w:hint="eastAsia" w:cs="黑体" w:asciiTheme="minorEastAsia" w:hAnsiTheme="minorEastAsia"/>
                <w:u w:val="single"/>
              </w:rPr>
              <w:t>由相关学科或多学科联合对指定专病执行的诊疗方式</w:t>
            </w:r>
            <w:r>
              <w:rPr>
                <w:rFonts w:hint="eastAsia" w:ascii="宋体" w:hAnsi="宋体" w:eastAsia="宋体" w:cs="黑体"/>
                <w:u w:val="single"/>
              </w:rPr>
              <w:t>。</w:t>
            </w:r>
          </w:p>
        </w:tc>
      </w:tr>
      <w:tr w14:paraId="42C2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vAlign w:val="center"/>
          </w:tcPr>
          <w:p w14:paraId="055F2727">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3.医疗工艺设计</w:t>
            </w:r>
          </w:p>
        </w:tc>
        <w:tc>
          <w:tcPr>
            <w:tcW w:w="4261" w:type="dxa"/>
            <w:vAlign w:val="center"/>
          </w:tcPr>
          <w:p w14:paraId="2E6DBB97">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3.医疗工艺设计</w:t>
            </w:r>
          </w:p>
        </w:tc>
      </w:tr>
      <w:tr w14:paraId="00FA5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6131236">
            <w:pPr>
              <w:jc w:val="center"/>
              <w:rPr>
                <w:rFonts w:asciiTheme="minorEastAsia" w:hAnsiTheme="minorEastAsia"/>
              </w:rPr>
            </w:pPr>
            <w:bookmarkStart w:id="1" w:name="_Toc85880715"/>
            <w:r>
              <w:rPr>
                <w:rFonts w:hint="eastAsia" w:asciiTheme="minorEastAsia" w:hAnsiTheme="minorEastAsia"/>
              </w:rPr>
              <w:t>3.1 一般规定</w:t>
            </w:r>
            <w:bookmarkEnd w:id="1"/>
          </w:p>
        </w:tc>
        <w:tc>
          <w:tcPr>
            <w:tcW w:w="4261" w:type="dxa"/>
          </w:tcPr>
          <w:p w14:paraId="14AE6235">
            <w:pPr>
              <w:jc w:val="center"/>
              <w:rPr>
                <w:rFonts w:asciiTheme="minorEastAsia" w:hAnsiTheme="minorEastAsia"/>
              </w:rPr>
            </w:pPr>
            <w:r>
              <w:rPr>
                <w:rFonts w:hint="eastAsia" w:asciiTheme="minorEastAsia" w:hAnsiTheme="minorEastAsia"/>
              </w:rPr>
              <w:t>3.1 一般规定</w:t>
            </w:r>
          </w:p>
        </w:tc>
      </w:tr>
      <w:tr w14:paraId="1DD7B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1E927796">
            <w:r>
              <w:rPr>
                <w:rFonts w:hint="eastAsia" w:cs="宋体" w:asciiTheme="minorEastAsia" w:hAnsiTheme="minorEastAsia"/>
              </w:rPr>
              <w:t>3.1.1</w:t>
            </w:r>
            <w:r>
              <w:rPr>
                <w:rFonts w:cs="宋体" w:asciiTheme="minorEastAsia" w:hAnsiTheme="minorEastAsia"/>
              </w:rPr>
              <w:t xml:space="preserve"> </w:t>
            </w:r>
            <w:r>
              <w:rPr>
                <w:rFonts w:hint="eastAsia" w:cs="宋体" w:asciiTheme="minorEastAsia" w:hAnsiTheme="minorEastAsia"/>
                <w:bCs/>
                <w:szCs w:val="28"/>
              </w:rPr>
              <w:t>医疗工艺设计应</w:t>
            </w:r>
            <w:r>
              <w:rPr>
                <w:rFonts w:hint="eastAsia" w:cs="宋体" w:asciiTheme="minorEastAsia" w:hAnsiTheme="minorEastAsia"/>
                <w:bCs/>
                <w:szCs w:val="28"/>
                <w:bdr w:val="single" w:color="000000" w:sz="4" w:space="0"/>
              </w:rPr>
              <w:t>确定医疗业务结构、功能和规模，以及相关医疗流程、医疗设备、技术条件和参数</w:t>
            </w:r>
            <w:r>
              <w:rPr>
                <w:rFonts w:hint="eastAsia" w:cs="宋体" w:asciiTheme="minorEastAsia" w:hAnsiTheme="minorEastAsia"/>
                <w:bCs/>
                <w:szCs w:val="28"/>
              </w:rPr>
              <w:t>。</w:t>
            </w:r>
          </w:p>
        </w:tc>
        <w:tc>
          <w:tcPr>
            <w:tcW w:w="4261" w:type="dxa"/>
          </w:tcPr>
          <w:p w14:paraId="7402788D">
            <w:r>
              <w:rPr>
                <w:rFonts w:hint="eastAsia" w:cs="宋体" w:asciiTheme="minorEastAsia" w:hAnsiTheme="minorEastAsia"/>
              </w:rPr>
              <w:t>3.1.1</w:t>
            </w:r>
            <w:r>
              <w:rPr>
                <w:rFonts w:cs="宋体" w:asciiTheme="minorEastAsia" w:hAnsiTheme="minorEastAsia"/>
              </w:rPr>
              <w:t xml:space="preserve"> </w:t>
            </w:r>
            <w:r>
              <w:rPr>
                <w:rFonts w:hint="eastAsia" w:cs="宋体" w:asciiTheme="minorEastAsia" w:hAnsiTheme="minorEastAsia"/>
                <w:bCs/>
                <w:szCs w:val="28"/>
              </w:rPr>
              <w:t>医疗工艺设计应</w:t>
            </w:r>
            <w:r>
              <w:rPr>
                <w:rFonts w:hint="eastAsia" w:cs="宋体" w:asciiTheme="minorEastAsia" w:hAnsiTheme="minorEastAsia"/>
                <w:szCs w:val="28"/>
                <w:u w:val="single"/>
              </w:rPr>
              <w:t>基于医院学科规划，科学、合理的对医疗流程、医疗流程条件、资源配置等进行系统性工艺设计，为建筑设计提供依据</w:t>
            </w:r>
            <w:r>
              <w:rPr>
                <w:rFonts w:hint="eastAsia" w:cs="宋体" w:asciiTheme="minorEastAsia" w:hAnsiTheme="minorEastAsia"/>
                <w:bCs/>
                <w:szCs w:val="28"/>
              </w:rPr>
              <w:t>。</w:t>
            </w:r>
          </w:p>
        </w:tc>
      </w:tr>
      <w:tr w14:paraId="20F8E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72F5509">
            <w:r>
              <w:rPr>
                <w:rFonts w:hint="eastAsia" w:ascii="宋体" w:hAnsi="宋体" w:eastAsia="宋体" w:cs="宋体"/>
              </w:rPr>
              <w:t>3.1.2</w:t>
            </w:r>
            <w:r>
              <w:rPr>
                <w:rFonts w:ascii="宋体" w:hAnsi="宋体" w:eastAsia="宋体" w:cs="宋体"/>
              </w:rPr>
              <w:t xml:space="preserve"> </w:t>
            </w:r>
            <w:r>
              <w:rPr>
                <w:rFonts w:hint="eastAsia" w:ascii="宋体" w:hAnsi="宋体" w:eastAsia="宋体" w:cs="宋体"/>
                <w:bCs/>
                <w:szCs w:val="28"/>
                <w:bdr w:val="single" w:color="000000" w:sz="4" w:space="0"/>
              </w:rPr>
              <w:t>医疗工艺设计应进行前期设计和条件设计。前期设计应满足编制可行性研究报告、设计任务书及建筑方案设计的需要。条件设计应与医院建筑初步设计同步完成，并应与建筑设计的深化、完善过程相配合，同时应满足医院建筑初步设计及施工图设计的需要。</w:t>
            </w:r>
          </w:p>
        </w:tc>
        <w:tc>
          <w:tcPr>
            <w:tcW w:w="4261" w:type="dxa"/>
          </w:tcPr>
          <w:p w14:paraId="6DDE20C5">
            <w:pPr>
              <w:rPr>
                <w:rFonts w:ascii="宋体" w:hAnsi="宋体" w:eastAsia="宋体" w:cs="宋体"/>
                <w:bCs/>
              </w:rPr>
            </w:pPr>
            <w:r>
              <w:rPr>
                <w:rFonts w:hint="eastAsia" w:ascii="宋体" w:hAnsi="宋体" w:eastAsia="宋体" w:cs="宋体"/>
              </w:rPr>
              <w:t>3.1.2</w:t>
            </w:r>
            <w:r>
              <w:rPr>
                <w:rFonts w:ascii="宋体" w:hAnsi="宋体" w:eastAsia="宋体" w:cs="宋体"/>
              </w:rPr>
              <w:t xml:space="preserve"> </w:t>
            </w:r>
            <w:r>
              <w:rPr>
                <w:rFonts w:hint="eastAsia" w:ascii="宋体" w:hAnsi="宋体" w:eastAsia="宋体" w:cs="宋体"/>
                <w:szCs w:val="28"/>
                <w:u w:val="single"/>
              </w:rPr>
              <w:t>医疗功能单元（简称科）分类划分按表3.1.2的规定。</w:t>
            </w:r>
          </w:p>
          <w:p w14:paraId="7D9C11FC">
            <w:pPr>
              <w:jc w:val="center"/>
              <w:rPr>
                <w:rFonts w:ascii="宋体" w:hAnsi="宋体" w:eastAsia="宋体"/>
                <w:b/>
                <w:bCs/>
                <w:sz w:val="18"/>
                <w:szCs w:val="22"/>
                <w:u w:val="single"/>
              </w:rPr>
            </w:pPr>
            <w:r>
              <w:rPr>
                <w:rFonts w:hint="eastAsia" w:ascii="宋体" w:hAnsi="宋体" w:eastAsia="宋体"/>
                <w:b/>
                <w:bCs/>
                <w:sz w:val="18"/>
                <w:szCs w:val="22"/>
                <w:u w:val="single"/>
              </w:rPr>
              <w:t>表3.1.2 医疗功能单元分类划分表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5"/>
              <w:gridCol w:w="591"/>
              <w:gridCol w:w="560"/>
              <w:gridCol w:w="1209"/>
              <w:gridCol w:w="1125"/>
            </w:tblGrid>
            <w:tr w14:paraId="4BB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55" w:type="dxa"/>
                  <w:vAlign w:val="center"/>
                </w:tcPr>
                <w:p w14:paraId="676AEA74">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分类</w:t>
                  </w:r>
                </w:p>
              </w:tc>
              <w:tc>
                <w:tcPr>
                  <w:tcW w:w="591" w:type="dxa"/>
                  <w:vAlign w:val="center"/>
                </w:tcPr>
                <w:p w14:paraId="0BB1525D">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门急诊类</w:t>
                  </w:r>
                </w:p>
              </w:tc>
              <w:tc>
                <w:tcPr>
                  <w:tcW w:w="560" w:type="dxa"/>
                  <w:vAlign w:val="center"/>
                </w:tcPr>
                <w:p w14:paraId="2CB174AE">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健康管理</w:t>
                  </w:r>
                </w:p>
              </w:tc>
              <w:tc>
                <w:tcPr>
                  <w:tcW w:w="1209" w:type="dxa"/>
                  <w:vAlign w:val="center"/>
                </w:tcPr>
                <w:p w14:paraId="2ED60836">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临床科室</w:t>
                  </w:r>
                </w:p>
              </w:tc>
              <w:tc>
                <w:tcPr>
                  <w:tcW w:w="1125" w:type="dxa"/>
                  <w:vAlign w:val="center"/>
                </w:tcPr>
                <w:p w14:paraId="6405C0A7">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医技科室</w:t>
                  </w:r>
                </w:p>
              </w:tc>
            </w:tr>
            <w:tr w14:paraId="46C4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55" w:type="dxa"/>
                  <w:vAlign w:val="center"/>
                </w:tcPr>
                <w:p w14:paraId="2237C0EE">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各功能单元</w:t>
                  </w:r>
                </w:p>
              </w:tc>
              <w:tc>
                <w:tcPr>
                  <w:tcW w:w="591" w:type="dxa"/>
                  <w:vAlign w:val="center"/>
                </w:tcPr>
                <w:p w14:paraId="4FF12FC5">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门诊部、急诊部</w:t>
                  </w:r>
                </w:p>
              </w:tc>
              <w:tc>
                <w:tcPr>
                  <w:tcW w:w="560" w:type="dxa"/>
                  <w:vAlign w:val="center"/>
                </w:tcPr>
                <w:p w14:paraId="72C27314">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体检部</w:t>
                  </w:r>
                </w:p>
              </w:tc>
              <w:tc>
                <w:tcPr>
                  <w:tcW w:w="1209" w:type="dxa"/>
                  <w:vAlign w:val="center"/>
                </w:tcPr>
                <w:p w14:paraId="28C5B04A">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内科、外科、妇科、产科、儿科、眼科、耳鼻喉科、中医科、理疗科、麻醉科、手术部、重症监护科、介入治疗科、放射治疗科等</w:t>
                  </w:r>
                </w:p>
              </w:tc>
              <w:tc>
                <w:tcPr>
                  <w:tcW w:w="1125" w:type="dxa"/>
                  <w:vAlign w:val="center"/>
                </w:tcPr>
                <w:p w14:paraId="4308E19F">
                  <w:pPr>
                    <w:spacing w:line="240" w:lineRule="auto"/>
                    <w:jc w:val="center"/>
                    <w:rPr>
                      <w:rFonts w:ascii="宋体" w:hAnsi="宋体" w:eastAsia="宋体"/>
                      <w:bCs/>
                      <w:sz w:val="18"/>
                      <w:szCs w:val="22"/>
                      <w:u w:val="single"/>
                    </w:rPr>
                  </w:pPr>
                  <w:r>
                    <w:rPr>
                      <w:rFonts w:hint="eastAsia" w:ascii="宋体" w:hAnsi="宋体" w:eastAsia="宋体"/>
                      <w:bCs/>
                      <w:sz w:val="18"/>
                      <w:szCs w:val="22"/>
                      <w:u w:val="single"/>
                    </w:rPr>
                    <w:t>药剂科、检验科、放射科、核医学科、超声科、功能科、病理科、消毒供应中心、输血科等</w:t>
                  </w:r>
                </w:p>
              </w:tc>
            </w:tr>
          </w:tbl>
          <w:p w14:paraId="780989D0"/>
        </w:tc>
      </w:tr>
      <w:tr w14:paraId="4BD73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8284D2A">
            <w:r>
              <w:rPr>
                <w:rFonts w:hint="eastAsia" w:ascii="宋体" w:hAnsi="宋体" w:eastAsia="宋体" w:cs="宋体"/>
              </w:rPr>
              <w:t>3.1.3</w:t>
            </w:r>
            <w:r>
              <w:rPr>
                <w:rFonts w:ascii="宋体" w:hAnsi="宋体" w:eastAsia="宋体" w:cs="宋体"/>
              </w:rPr>
              <w:t xml:space="preserve"> </w:t>
            </w:r>
            <w:r>
              <w:rPr>
                <w:rFonts w:hint="eastAsia" w:ascii="宋体" w:hAnsi="宋体" w:eastAsia="宋体" w:cs="宋体"/>
                <w:bCs/>
                <w:szCs w:val="28"/>
                <w:bdr w:val="single" w:color="000000" w:sz="4" w:space="0"/>
              </w:rPr>
              <w:t>医疗工艺流程应分为医院内各医疗功能单元之间的流程和各医疗功能单元内部的流程。</w:t>
            </w:r>
          </w:p>
        </w:tc>
        <w:tc>
          <w:tcPr>
            <w:tcW w:w="4261" w:type="dxa"/>
          </w:tcPr>
          <w:p w14:paraId="0D24FF28">
            <w:pPr>
              <w:rPr>
                <w:rFonts w:ascii="宋体" w:hAnsi="宋体" w:eastAsia="宋体" w:cs="宋体"/>
                <w:u w:val="single"/>
              </w:rPr>
            </w:pPr>
            <w:r>
              <w:rPr>
                <w:rFonts w:hint="eastAsia" w:ascii="宋体" w:hAnsi="宋体" w:eastAsia="宋体" w:cs="宋体"/>
              </w:rPr>
              <w:t>3.1.3</w:t>
            </w:r>
            <w:r>
              <w:rPr>
                <w:rFonts w:ascii="宋体" w:hAnsi="宋体" w:eastAsia="宋体" w:cs="宋体"/>
              </w:rPr>
              <w:t xml:space="preserve"> </w:t>
            </w:r>
            <w:r>
              <w:rPr>
                <w:rFonts w:hint="eastAsia" w:ascii="宋体" w:hAnsi="宋体" w:eastAsia="宋体" w:cs="宋体"/>
                <w:u w:val="single"/>
              </w:rPr>
              <w:t>医疗流程应以病人为中心，符合诊疗程序和各项医疗操作规程，分级流程规定如下。</w:t>
            </w:r>
          </w:p>
          <w:p w14:paraId="5F5D4C2A">
            <w:pPr>
              <w:ind w:firstLine="480" w:firstLineChars="200"/>
              <w:rPr>
                <w:rFonts w:ascii="宋体" w:hAnsi="宋体" w:eastAsia="宋体" w:cs="宋体"/>
                <w:u w:val="single"/>
              </w:rPr>
            </w:pPr>
            <w:r>
              <w:rPr>
                <w:rFonts w:hint="eastAsia" w:ascii="宋体" w:hAnsi="宋体" w:eastAsia="宋体" w:cs="宋体"/>
                <w:u w:val="single"/>
              </w:rPr>
              <w:t>1 一级医疗流程：科与科间的流程，关系建筑功能布局、流线组织、面积分配。</w:t>
            </w:r>
          </w:p>
          <w:p w14:paraId="193FCEA9">
            <w:pPr>
              <w:ind w:firstLine="480" w:firstLineChars="200"/>
              <w:rPr>
                <w:rFonts w:ascii="宋体" w:hAnsi="宋体" w:eastAsia="宋体" w:cs="宋体"/>
                <w:u w:val="single"/>
              </w:rPr>
            </w:pPr>
            <w:r>
              <w:rPr>
                <w:rFonts w:hint="eastAsia" w:ascii="宋体" w:hAnsi="宋体" w:eastAsia="宋体" w:cs="宋体"/>
                <w:u w:val="single"/>
              </w:rPr>
              <w:t>2 二级医疗流程：科内流程，关系科内用房组成。</w:t>
            </w:r>
          </w:p>
          <w:p w14:paraId="3FE7F659">
            <w:pPr>
              <w:ind w:firstLine="480" w:firstLineChars="200"/>
              <w:rPr>
                <w:rFonts w:ascii="宋体" w:hAnsi="宋体" w:eastAsia="宋体" w:cs="宋体"/>
                <w:u w:val="single"/>
              </w:rPr>
            </w:pPr>
            <w:r>
              <w:rPr>
                <w:rFonts w:hint="eastAsia" w:ascii="宋体" w:hAnsi="宋体" w:eastAsia="宋体" w:cs="宋体"/>
                <w:u w:val="single"/>
              </w:rPr>
              <w:t>3 三级医疗流程：房间内流程，关系室内空间设备、设施布置。</w:t>
            </w:r>
          </w:p>
          <w:p w14:paraId="40E27CB7">
            <w:pPr>
              <w:ind w:firstLine="480" w:firstLineChars="200"/>
            </w:pPr>
            <w:r>
              <w:rPr>
                <w:rFonts w:hint="eastAsia" w:ascii="宋体" w:hAnsi="宋体" w:eastAsia="宋体" w:cs="宋体"/>
                <w:u w:val="single"/>
              </w:rPr>
              <w:t>4 信息流和物流服从服务于医疗流程。</w:t>
            </w:r>
          </w:p>
        </w:tc>
      </w:tr>
      <w:tr w14:paraId="4E437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B6A48E6">
            <w:pPr>
              <w:rPr>
                <w:rFonts w:ascii="宋体" w:hAnsi="宋体" w:eastAsia="宋体" w:cs="宋体"/>
                <w:u w:val="single"/>
              </w:rPr>
            </w:pPr>
            <w:r>
              <w:rPr>
                <w:rFonts w:hint="eastAsia" w:ascii="宋体" w:hAnsi="宋体" w:eastAsia="宋体" w:cs="宋体"/>
              </w:rPr>
              <w:t>3.1.4</w:t>
            </w:r>
            <w:r>
              <w:rPr>
                <w:rFonts w:ascii="宋体" w:hAnsi="宋体" w:eastAsia="宋体" w:cs="宋体"/>
              </w:rPr>
              <w:t xml:space="preserve"> </w:t>
            </w:r>
            <w:r>
              <w:rPr>
                <w:rFonts w:hint="eastAsia" w:ascii="宋体" w:hAnsi="宋体" w:eastAsia="宋体" w:cs="宋体"/>
                <w:bCs/>
                <w:szCs w:val="28"/>
                <w:bdr w:val="single" w:color="000000" w:sz="4" w:space="0"/>
              </w:rPr>
              <w:t>医疗功能单元的划分宜符合表3.1</w:t>
            </w:r>
            <w:r>
              <w:rPr>
                <w:rFonts w:ascii="宋体" w:hAnsi="宋体" w:eastAsia="宋体" w:cs="宋体"/>
                <w:bCs/>
                <w:szCs w:val="28"/>
                <w:bdr w:val="single" w:color="000000" w:sz="4" w:space="0"/>
              </w:rPr>
              <w:t>.</w:t>
            </w:r>
            <w:r>
              <w:rPr>
                <w:rFonts w:hint="eastAsia" w:ascii="宋体" w:hAnsi="宋体" w:eastAsia="宋体" w:cs="宋体"/>
                <w:bCs/>
                <w:szCs w:val="28"/>
                <w:bdr w:val="single" w:color="000000" w:sz="4" w:space="0"/>
              </w:rPr>
              <w:t>4的规定。</w:t>
            </w:r>
          </w:p>
          <w:p w14:paraId="577B6337">
            <w:pPr>
              <w:jc w:val="center"/>
              <w:rPr>
                <w:rFonts w:ascii="宋体" w:hAnsi="宋体" w:eastAsia="宋体" w:cs="宋体"/>
                <w:b/>
                <w:bCs/>
                <w:sz w:val="18"/>
                <w:szCs w:val="18"/>
              </w:rPr>
            </w:pPr>
            <w:r>
              <w:rPr>
                <w:rFonts w:hint="eastAsia" w:ascii="宋体" w:hAnsi="宋体" w:eastAsia="宋体" w:cs="宋体"/>
                <w:b/>
                <w:bCs/>
                <w:sz w:val="18"/>
                <w:szCs w:val="18"/>
                <w:bdr w:val="single" w:color="000000" w:sz="4" w:space="0"/>
              </w:rPr>
              <w:t>表3.1.</w:t>
            </w:r>
            <w:r>
              <w:rPr>
                <w:rFonts w:ascii="宋体" w:hAnsi="宋体" w:eastAsia="宋体" w:cs="宋体"/>
                <w:b/>
                <w:bCs/>
                <w:sz w:val="18"/>
                <w:szCs w:val="18"/>
                <w:bdr w:val="single" w:color="000000" w:sz="4" w:space="0"/>
              </w:rPr>
              <w:t>4</w:t>
            </w:r>
            <w:r>
              <w:rPr>
                <w:rFonts w:hint="eastAsia" w:ascii="宋体" w:hAnsi="宋体" w:eastAsia="宋体" w:cs="宋体"/>
                <w:b/>
                <w:bCs/>
                <w:sz w:val="18"/>
                <w:szCs w:val="18"/>
                <w:bdr w:val="single" w:color="000000" w:sz="4" w:space="0"/>
              </w:rPr>
              <w:t xml:space="preserve"> 医疗功能单元的划分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
              <w:gridCol w:w="625"/>
              <w:gridCol w:w="624"/>
              <w:gridCol w:w="1020"/>
              <w:gridCol w:w="850"/>
              <w:gridCol w:w="670"/>
            </w:tblGrid>
            <w:tr w14:paraId="252D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60" w:type="dxa"/>
                  <w:vAlign w:val="center"/>
                </w:tcPr>
                <w:p w14:paraId="339A0FA5">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分类</w:t>
                  </w:r>
                </w:p>
              </w:tc>
              <w:tc>
                <w:tcPr>
                  <w:tcW w:w="625" w:type="dxa"/>
                  <w:vAlign w:val="center"/>
                </w:tcPr>
                <w:p w14:paraId="3856FE8A">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门诊</w:t>
                  </w:r>
                  <w:r>
                    <w:rPr>
                      <w:rFonts w:ascii="宋体" w:hAnsi="宋体" w:eastAsia="宋体" w:cs="宋体"/>
                      <w:bCs/>
                      <w:sz w:val="18"/>
                      <w:szCs w:val="18"/>
                      <w:bdr w:val="single" w:color="000000" w:sz="4" w:space="0"/>
                    </w:rPr>
                    <w:t>、</w:t>
                  </w:r>
                  <w:r>
                    <w:rPr>
                      <w:rFonts w:hint="eastAsia" w:ascii="宋体" w:hAnsi="宋体" w:eastAsia="宋体" w:cs="宋体"/>
                      <w:bCs/>
                      <w:sz w:val="18"/>
                      <w:szCs w:val="18"/>
                      <w:bdr w:val="single" w:color="000000" w:sz="4" w:space="0"/>
                    </w:rPr>
                    <w:t>急诊</w:t>
                  </w:r>
                </w:p>
              </w:tc>
              <w:tc>
                <w:tcPr>
                  <w:tcW w:w="624" w:type="dxa"/>
                  <w:vAlign w:val="center"/>
                </w:tcPr>
                <w:p w14:paraId="7C6FC68D">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预防、</w:t>
                  </w:r>
                  <w:r>
                    <w:rPr>
                      <w:rFonts w:ascii="宋体" w:hAnsi="宋体" w:eastAsia="宋体" w:cs="宋体"/>
                      <w:bCs/>
                      <w:sz w:val="18"/>
                      <w:szCs w:val="18"/>
                      <w:bdr w:val="single" w:color="000000" w:sz="4" w:space="0"/>
                    </w:rPr>
                    <w:t>保健</w:t>
                  </w:r>
                  <w:r>
                    <w:rPr>
                      <w:rFonts w:hint="eastAsia" w:ascii="宋体" w:hAnsi="宋体" w:eastAsia="宋体" w:cs="宋体"/>
                      <w:bCs/>
                      <w:sz w:val="18"/>
                      <w:szCs w:val="18"/>
                      <w:bdr w:val="single" w:color="000000" w:sz="4" w:space="0"/>
                    </w:rPr>
                    <w:t>管理</w:t>
                  </w:r>
                </w:p>
              </w:tc>
              <w:tc>
                <w:tcPr>
                  <w:tcW w:w="1020" w:type="dxa"/>
                  <w:vAlign w:val="center"/>
                </w:tcPr>
                <w:p w14:paraId="672107EE">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临床科室</w:t>
                  </w:r>
                </w:p>
              </w:tc>
              <w:tc>
                <w:tcPr>
                  <w:tcW w:w="850" w:type="dxa"/>
                  <w:vAlign w:val="center"/>
                </w:tcPr>
                <w:p w14:paraId="793A2746">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医技</w:t>
                  </w:r>
                  <w:r>
                    <w:rPr>
                      <w:rFonts w:ascii="宋体" w:hAnsi="宋体" w:eastAsia="宋体" w:cs="宋体"/>
                      <w:bCs/>
                      <w:sz w:val="18"/>
                      <w:szCs w:val="18"/>
                      <w:bdr w:val="single" w:color="000000" w:sz="4" w:space="0"/>
                    </w:rPr>
                    <w:br w:type="textWrapping"/>
                  </w:r>
                  <w:r>
                    <w:rPr>
                      <w:rFonts w:hint="eastAsia" w:ascii="宋体" w:hAnsi="宋体" w:eastAsia="宋体" w:cs="宋体"/>
                      <w:bCs/>
                      <w:sz w:val="18"/>
                      <w:szCs w:val="18"/>
                      <w:bdr w:val="single" w:color="000000" w:sz="4" w:space="0"/>
                    </w:rPr>
                    <w:t>科室</w:t>
                  </w:r>
                </w:p>
              </w:tc>
              <w:tc>
                <w:tcPr>
                  <w:tcW w:w="670" w:type="dxa"/>
                  <w:vAlign w:val="center"/>
                </w:tcPr>
                <w:p w14:paraId="4701A543">
                  <w:pPr>
                    <w:spacing w:line="240" w:lineRule="auto"/>
                    <w:jc w:val="center"/>
                    <w:rPr>
                      <w:rFonts w:ascii="宋体" w:hAnsi="宋体" w:eastAsia="宋体" w:cs="宋体"/>
                      <w:bCs/>
                      <w:kern w:val="0"/>
                      <w:sz w:val="18"/>
                      <w:szCs w:val="18"/>
                      <w:bdr w:val="single" w:color="000000" w:sz="4" w:space="0"/>
                    </w:rPr>
                  </w:pPr>
                  <w:r>
                    <w:rPr>
                      <w:rFonts w:hint="eastAsia" w:ascii="宋体" w:hAnsi="宋体" w:eastAsia="宋体" w:cs="宋体"/>
                      <w:bCs/>
                      <w:kern w:val="0"/>
                      <w:sz w:val="18"/>
                      <w:szCs w:val="18"/>
                      <w:bdr w:val="single" w:color="000000" w:sz="4" w:space="0"/>
                    </w:rPr>
                    <w:t>医疗</w:t>
                  </w:r>
                  <w:r>
                    <w:rPr>
                      <w:rFonts w:ascii="宋体" w:hAnsi="宋体" w:eastAsia="宋体" w:cs="宋体"/>
                      <w:bCs/>
                      <w:kern w:val="0"/>
                      <w:sz w:val="18"/>
                      <w:szCs w:val="18"/>
                      <w:bdr w:val="single" w:color="000000" w:sz="4" w:space="0"/>
                    </w:rPr>
                    <w:br w:type="textWrapping"/>
                  </w:r>
                  <w:r>
                    <w:rPr>
                      <w:rFonts w:ascii="宋体" w:hAnsi="宋体" w:eastAsia="宋体" w:cs="宋体"/>
                      <w:bCs/>
                      <w:kern w:val="0"/>
                      <w:sz w:val="18"/>
                      <w:szCs w:val="18"/>
                      <w:bdr w:val="single" w:color="000000" w:sz="4" w:space="0"/>
                    </w:rPr>
                    <w:t>管理</w:t>
                  </w:r>
                </w:p>
              </w:tc>
            </w:tr>
            <w:tr w14:paraId="087B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60" w:type="dxa"/>
                  <w:vAlign w:val="center"/>
                </w:tcPr>
                <w:p w14:paraId="6824B0BB">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各功能单元</w:t>
                  </w:r>
                </w:p>
              </w:tc>
              <w:tc>
                <w:tcPr>
                  <w:tcW w:w="625" w:type="dxa"/>
                  <w:vAlign w:val="center"/>
                </w:tcPr>
                <w:p w14:paraId="629CD16B">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分诊</w:t>
                  </w:r>
                  <w:r>
                    <w:rPr>
                      <w:rFonts w:ascii="宋体" w:hAnsi="宋体" w:eastAsia="宋体" w:cs="宋体"/>
                      <w:bCs/>
                      <w:sz w:val="18"/>
                      <w:szCs w:val="18"/>
                      <w:bdr w:val="single" w:color="000000" w:sz="4" w:space="0"/>
                    </w:rPr>
                    <w:t>、挂号、收费、各诊室、急诊、急救、输液、留院观察等</w:t>
                  </w:r>
                </w:p>
              </w:tc>
              <w:tc>
                <w:tcPr>
                  <w:tcW w:w="624" w:type="dxa"/>
                  <w:vAlign w:val="center"/>
                </w:tcPr>
                <w:p w14:paraId="351AEDC2">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儿童保健</w:t>
                  </w:r>
                  <w:r>
                    <w:rPr>
                      <w:rFonts w:ascii="宋体" w:hAnsi="宋体" w:eastAsia="宋体" w:cs="宋体"/>
                      <w:bCs/>
                      <w:sz w:val="18"/>
                      <w:szCs w:val="18"/>
                      <w:bdr w:val="single" w:color="000000" w:sz="4" w:space="0"/>
                    </w:rPr>
                    <w:t>、妇女保健等</w:t>
                  </w:r>
                </w:p>
              </w:tc>
              <w:tc>
                <w:tcPr>
                  <w:tcW w:w="1020" w:type="dxa"/>
                  <w:vAlign w:val="center"/>
                </w:tcPr>
                <w:p w14:paraId="651FF6ED">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内科、外科、眼科、耳鼻喉科、儿科、妇产科</w:t>
                  </w:r>
                  <w:r>
                    <w:rPr>
                      <w:rFonts w:ascii="宋体" w:hAnsi="宋体" w:eastAsia="宋体" w:cs="宋体"/>
                      <w:bCs/>
                      <w:sz w:val="18"/>
                      <w:szCs w:val="18"/>
                      <w:bdr w:val="single" w:color="000000" w:sz="4" w:space="0"/>
                    </w:rPr>
                    <w:t>、手术部、麻醉科、重症监护</w:t>
                  </w:r>
                  <w:r>
                    <w:rPr>
                      <w:rFonts w:hint="eastAsia" w:ascii="宋体" w:hAnsi="宋体" w:eastAsia="宋体" w:cs="宋体"/>
                      <w:bCs/>
                      <w:sz w:val="18"/>
                      <w:szCs w:val="18"/>
                      <w:bdr w:val="single" w:color="000000" w:sz="4" w:space="0"/>
                    </w:rPr>
                    <w:t>科</w:t>
                  </w:r>
                  <w:r>
                    <w:rPr>
                      <w:rFonts w:ascii="宋体" w:hAnsi="宋体" w:eastAsia="宋体" w:cs="宋体"/>
                      <w:bCs/>
                      <w:sz w:val="18"/>
                      <w:szCs w:val="18"/>
                      <w:bdr w:val="single" w:color="000000" w:sz="4" w:space="0"/>
                    </w:rPr>
                    <w:t>（</w:t>
                  </w:r>
                  <w:r>
                    <w:rPr>
                      <w:rFonts w:hint="eastAsia" w:ascii="宋体" w:hAnsi="宋体" w:eastAsia="宋体" w:cs="宋体"/>
                      <w:bCs/>
                      <w:sz w:val="18"/>
                      <w:szCs w:val="18"/>
                      <w:bdr w:val="single" w:color="000000" w:sz="4" w:space="0"/>
                    </w:rPr>
                    <w:t>ICU和CCU等</w:t>
                  </w:r>
                  <w:r>
                    <w:rPr>
                      <w:rFonts w:ascii="宋体" w:hAnsi="宋体" w:eastAsia="宋体" w:cs="宋体"/>
                      <w:bCs/>
                      <w:sz w:val="18"/>
                      <w:szCs w:val="18"/>
                      <w:bdr w:val="single" w:color="000000" w:sz="4" w:space="0"/>
                    </w:rPr>
                    <w:t>）</w:t>
                  </w:r>
                  <w:r>
                    <w:rPr>
                      <w:rFonts w:hint="eastAsia" w:ascii="宋体" w:hAnsi="宋体" w:eastAsia="宋体" w:cs="宋体"/>
                      <w:bCs/>
                      <w:sz w:val="18"/>
                      <w:szCs w:val="18"/>
                      <w:bdr w:val="single" w:color="000000" w:sz="4" w:space="0"/>
                    </w:rPr>
                    <w:t>、</w:t>
                  </w:r>
                  <w:r>
                    <w:rPr>
                      <w:rFonts w:ascii="宋体" w:hAnsi="宋体" w:eastAsia="宋体" w:cs="宋体"/>
                      <w:bCs/>
                      <w:sz w:val="18"/>
                      <w:szCs w:val="18"/>
                      <w:bdr w:val="single" w:color="000000" w:sz="4" w:space="0"/>
                    </w:rPr>
                    <w:t>介入治疗、</w:t>
                  </w:r>
                  <w:r>
                    <w:rPr>
                      <w:rFonts w:hint="eastAsia" w:ascii="宋体" w:hAnsi="宋体" w:eastAsia="宋体" w:cs="宋体"/>
                      <w:bCs/>
                      <w:sz w:val="18"/>
                      <w:szCs w:val="18"/>
                      <w:bdr w:val="single" w:color="000000" w:sz="4" w:space="0"/>
                    </w:rPr>
                    <w:t>放射</w:t>
                  </w:r>
                  <w:r>
                    <w:rPr>
                      <w:rFonts w:ascii="宋体" w:hAnsi="宋体" w:eastAsia="宋体" w:cs="宋体"/>
                      <w:bCs/>
                      <w:sz w:val="18"/>
                      <w:szCs w:val="18"/>
                      <w:bdr w:val="single" w:color="000000" w:sz="4" w:space="0"/>
                    </w:rPr>
                    <w:t>治疗、理疗科等</w:t>
                  </w:r>
                </w:p>
              </w:tc>
              <w:tc>
                <w:tcPr>
                  <w:tcW w:w="850" w:type="dxa"/>
                  <w:vAlign w:val="center"/>
                </w:tcPr>
                <w:p w14:paraId="1650DEEE">
                  <w:pPr>
                    <w:spacing w:line="240" w:lineRule="auto"/>
                    <w:jc w:val="center"/>
                    <w:rPr>
                      <w:rFonts w:ascii="宋体" w:hAnsi="宋体" w:eastAsia="宋体" w:cs="宋体"/>
                      <w:bCs/>
                      <w:sz w:val="18"/>
                      <w:szCs w:val="18"/>
                      <w:bdr w:val="single" w:color="000000" w:sz="4" w:space="0"/>
                    </w:rPr>
                  </w:pPr>
                  <w:r>
                    <w:rPr>
                      <w:rFonts w:hint="eastAsia" w:ascii="宋体" w:hAnsi="宋体" w:eastAsia="宋体" w:cs="宋体"/>
                      <w:bCs/>
                      <w:sz w:val="18"/>
                      <w:szCs w:val="18"/>
                      <w:bdr w:val="single" w:color="000000" w:sz="4" w:space="0"/>
                    </w:rPr>
                    <w:t>药剂科、检验科、医学</w:t>
                  </w:r>
                  <w:r>
                    <w:rPr>
                      <w:rFonts w:ascii="宋体" w:hAnsi="宋体" w:eastAsia="宋体" w:cs="宋体"/>
                      <w:bCs/>
                      <w:sz w:val="18"/>
                      <w:szCs w:val="18"/>
                      <w:bdr w:val="single" w:color="000000" w:sz="4" w:space="0"/>
                    </w:rPr>
                    <w:t>影像科（</w:t>
                  </w:r>
                  <w:r>
                    <w:rPr>
                      <w:rFonts w:hint="eastAsia" w:ascii="宋体" w:hAnsi="宋体" w:eastAsia="宋体" w:cs="宋体"/>
                      <w:bCs/>
                      <w:sz w:val="18"/>
                      <w:szCs w:val="18"/>
                      <w:bdr w:val="single" w:color="000000" w:sz="4" w:space="0"/>
                    </w:rPr>
                    <w:t>放射科</w:t>
                  </w:r>
                  <w:r>
                    <w:rPr>
                      <w:rFonts w:ascii="宋体" w:hAnsi="宋体" w:eastAsia="宋体" w:cs="宋体"/>
                      <w:bCs/>
                      <w:sz w:val="18"/>
                      <w:szCs w:val="18"/>
                      <w:bdr w:val="single" w:color="000000" w:sz="4" w:space="0"/>
                    </w:rPr>
                    <w:t>、核医学、超声科）</w:t>
                  </w:r>
                  <w:r>
                    <w:rPr>
                      <w:rFonts w:hint="eastAsia" w:ascii="宋体" w:hAnsi="宋体" w:eastAsia="宋体" w:cs="宋体"/>
                      <w:bCs/>
                      <w:sz w:val="18"/>
                      <w:szCs w:val="18"/>
                      <w:bdr w:val="single" w:color="000000" w:sz="4" w:space="0"/>
                    </w:rPr>
                    <w:t>、</w:t>
                  </w:r>
                  <w:r>
                    <w:rPr>
                      <w:rFonts w:ascii="宋体" w:hAnsi="宋体" w:eastAsia="宋体" w:cs="宋体"/>
                      <w:bCs/>
                      <w:sz w:val="18"/>
                      <w:szCs w:val="18"/>
                      <w:bdr w:val="single" w:color="000000" w:sz="4" w:space="0"/>
                    </w:rPr>
                    <w:t>病理科、中心供应、输血科等</w:t>
                  </w:r>
                </w:p>
              </w:tc>
              <w:tc>
                <w:tcPr>
                  <w:tcW w:w="670" w:type="dxa"/>
                  <w:vAlign w:val="center"/>
                </w:tcPr>
                <w:p w14:paraId="37851B77">
                  <w:pPr>
                    <w:spacing w:line="240" w:lineRule="auto"/>
                    <w:jc w:val="center"/>
                    <w:rPr>
                      <w:rFonts w:ascii="宋体" w:hAnsi="宋体" w:eastAsia="宋体" w:cs="宋体"/>
                      <w:bCs/>
                      <w:kern w:val="0"/>
                      <w:sz w:val="18"/>
                      <w:szCs w:val="18"/>
                      <w:bdr w:val="single" w:color="000000" w:sz="4" w:space="0"/>
                    </w:rPr>
                  </w:pPr>
                  <w:r>
                    <w:rPr>
                      <w:rFonts w:hint="eastAsia" w:ascii="宋体" w:hAnsi="宋体" w:eastAsia="宋体" w:cs="宋体"/>
                      <w:bCs/>
                      <w:kern w:val="0"/>
                      <w:sz w:val="18"/>
                      <w:szCs w:val="18"/>
                      <w:bdr w:val="single" w:color="000000" w:sz="4" w:space="0"/>
                    </w:rPr>
                    <w:t>病案</w:t>
                  </w:r>
                  <w:r>
                    <w:rPr>
                      <w:rFonts w:ascii="宋体" w:hAnsi="宋体" w:eastAsia="宋体" w:cs="宋体"/>
                      <w:bCs/>
                      <w:kern w:val="0"/>
                      <w:sz w:val="18"/>
                      <w:szCs w:val="18"/>
                      <w:bdr w:val="single" w:color="000000" w:sz="4" w:space="0"/>
                    </w:rPr>
                    <w:t>管理、统计管理、住院管理、门诊管理、感染控制管理等</w:t>
                  </w:r>
                </w:p>
              </w:tc>
            </w:tr>
          </w:tbl>
          <w:p w14:paraId="039AB5FC">
            <w:pPr>
              <w:ind w:firstLine="480" w:firstLineChars="200"/>
            </w:pPr>
          </w:p>
        </w:tc>
        <w:tc>
          <w:tcPr>
            <w:tcW w:w="4261" w:type="dxa"/>
          </w:tcPr>
          <w:p w14:paraId="61442EF4">
            <w:pPr>
              <w:rPr>
                <w:rFonts w:ascii="宋体" w:hAnsi="宋体" w:eastAsia="宋体" w:cs="宋体"/>
                <w:u w:val="single"/>
              </w:rPr>
            </w:pPr>
            <w:r>
              <w:rPr>
                <w:rFonts w:hint="eastAsia" w:ascii="宋体" w:hAnsi="宋体" w:eastAsia="宋体" w:cs="宋体"/>
              </w:rPr>
              <w:t>3.1.4</w:t>
            </w:r>
            <w:r>
              <w:rPr>
                <w:rFonts w:ascii="宋体" w:hAnsi="宋体" w:eastAsia="宋体" w:cs="宋体"/>
              </w:rPr>
              <w:t xml:space="preserve"> </w:t>
            </w:r>
            <w:r>
              <w:rPr>
                <w:rFonts w:hint="eastAsia" w:ascii="宋体" w:hAnsi="宋体" w:eastAsia="宋体" w:cs="宋体"/>
                <w:u w:val="single"/>
              </w:rPr>
              <w:t>医疗工艺设计依次划分为工艺规划、工艺方案、工艺条件设计，与建筑设计过程相伴随，规定如下。</w:t>
            </w:r>
          </w:p>
          <w:p w14:paraId="0FCA3F81">
            <w:pPr>
              <w:ind w:firstLine="480" w:firstLineChars="200"/>
              <w:rPr>
                <w:rFonts w:ascii="宋体" w:hAnsi="宋体" w:eastAsia="宋体" w:cs="宋体"/>
                <w:u w:val="single"/>
              </w:rPr>
            </w:pPr>
            <w:r>
              <w:rPr>
                <w:rFonts w:hint="eastAsia" w:ascii="宋体" w:hAnsi="宋体" w:eastAsia="宋体" w:cs="宋体"/>
                <w:u w:val="single"/>
              </w:rPr>
              <w:t>1 工艺规划：根据医院学科规划的医院定位、医院规模、标准、学科设置、诊疗科目、诊疗方式、诊疗量等，进行医院医疗功能分区、布局、面积分配、医疗设备配置、各医用专项、信息系统、科研、教学功能设置等进行全面规划，制定可行的整体解决方案，形成工艺报告书、信息系统规划、方案设计任务书等成果。</w:t>
            </w:r>
          </w:p>
          <w:p w14:paraId="5CF2EAD0">
            <w:pPr>
              <w:ind w:firstLine="480" w:firstLineChars="200"/>
              <w:rPr>
                <w:rFonts w:ascii="宋体" w:hAnsi="宋体" w:eastAsia="宋体" w:cs="宋体"/>
                <w:u w:val="single"/>
              </w:rPr>
            </w:pPr>
            <w:r>
              <w:rPr>
                <w:rFonts w:hint="eastAsia" w:ascii="宋体" w:hAnsi="宋体" w:eastAsia="宋体" w:cs="宋体"/>
                <w:u w:val="single"/>
              </w:rPr>
              <w:t>2 工艺方案设计：根据工艺规划，深化完善工艺规划各项内容，应对一、二级医疗流程和各科用房组成、动线处理进行合理、详细的工艺设计，并拟定物流系统、网络和信息系统、医用专项等系统技术构架，形成全院功能表和各科流程图、各科用房清单、医疗设备配置清单和物流等相关系统技术选择说明书，以及初步设计任务书，为建筑设计提供依据。</w:t>
            </w:r>
          </w:p>
          <w:p w14:paraId="6E271B2E">
            <w:pPr>
              <w:ind w:firstLine="480" w:firstLineChars="200"/>
              <w:rPr>
                <w:rFonts w:ascii="宋体" w:hAnsi="宋体" w:eastAsia="宋体" w:cs="宋体"/>
                <w:u w:val="single"/>
              </w:rPr>
            </w:pPr>
            <w:r>
              <w:rPr>
                <w:rFonts w:hint="eastAsia" w:ascii="宋体" w:hAnsi="宋体" w:eastAsia="宋体" w:cs="宋体"/>
                <w:u w:val="single"/>
              </w:rPr>
              <w:t>3 工艺条件设计：应对工艺方案深化设计，要求如下。</w:t>
            </w:r>
          </w:p>
          <w:p w14:paraId="6D4AA9F2">
            <w:pPr>
              <w:ind w:firstLine="480" w:firstLineChars="200"/>
              <w:rPr>
                <w:rFonts w:ascii="宋体" w:hAnsi="宋体" w:eastAsia="宋体" w:cs="宋体"/>
                <w:u w:val="single"/>
              </w:rPr>
            </w:pPr>
            <w:r>
              <w:rPr>
                <w:rFonts w:hint="eastAsia" w:ascii="宋体" w:hAnsi="宋体" w:eastAsia="宋体" w:cs="宋体"/>
                <w:u w:val="single"/>
              </w:rPr>
              <w:t>（1）深化完善三级流程工艺设计，对房间内设备、设施，以及门位、工位和各专业终端点位等合理布置。</w:t>
            </w:r>
          </w:p>
          <w:p w14:paraId="64669B07">
            <w:pPr>
              <w:ind w:firstLine="480" w:firstLineChars="200"/>
              <w:rPr>
                <w:rFonts w:ascii="宋体" w:hAnsi="宋体" w:eastAsia="宋体" w:cs="宋体"/>
                <w:u w:val="single"/>
              </w:rPr>
            </w:pPr>
            <w:r>
              <w:rPr>
                <w:rFonts w:hint="eastAsia" w:ascii="宋体" w:hAnsi="宋体" w:eastAsia="宋体" w:cs="宋体"/>
                <w:u w:val="single"/>
              </w:rPr>
              <w:t>（2）按《医院消毒卫生标准》和感控等相关要求，给定各医疗用房卫生学环境类别标准。</w:t>
            </w:r>
          </w:p>
          <w:p w14:paraId="4F564DF5">
            <w:pPr>
              <w:ind w:firstLine="480" w:firstLineChars="200"/>
              <w:rPr>
                <w:rFonts w:ascii="宋体" w:hAnsi="宋体" w:eastAsia="宋体" w:cs="宋体"/>
                <w:u w:val="single"/>
              </w:rPr>
            </w:pPr>
            <w:r>
              <w:rPr>
                <w:rFonts w:hint="eastAsia" w:ascii="宋体" w:hAnsi="宋体" w:eastAsia="宋体" w:cs="宋体"/>
                <w:u w:val="single"/>
              </w:rPr>
              <w:t>（3）按使用要求，对各功能用房、大型医疗设备机房、实验室等应提供建筑、结构、给排水、暖通、电气等机电技术条件，以及射线防护、生物安全等技术要求。</w:t>
            </w:r>
          </w:p>
          <w:p w14:paraId="3CF997DB">
            <w:pPr>
              <w:ind w:firstLine="480" w:firstLineChars="200"/>
            </w:pPr>
            <w:r>
              <w:rPr>
                <w:rFonts w:hint="eastAsia" w:ascii="宋体" w:hAnsi="宋体" w:eastAsia="宋体" w:cs="宋体"/>
                <w:u w:val="single"/>
              </w:rPr>
              <w:t>（4）工艺条件设计应形成主要功能用房布置图、大型医疗设备机房和实验室等特殊空间布置图、机电各专业设计技术参数表、各专业终端点位设置等，为建筑初步设计提供依据。</w:t>
            </w:r>
          </w:p>
        </w:tc>
      </w:tr>
      <w:tr w14:paraId="05915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E1D9906"/>
        </w:tc>
        <w:tc>
          <w:tcPr>
            <w:tcW w:w="4261" w:type="dxa"/>
          </w:tcPr>
          <w:p w14:paraId="208442BD">
            <w:pPr>
              <w:rPr>
                <w:rFonts w:ascii="宋体" w:hAnsi="宋体" w:eastAsia="宋体" w:cs="宋体"/>
                <w:u w:val="single"/>
              </w:rPr>
            </w:pPr>
            <w:r>
              <w:rPr>
                <w:rFonts w:hint="eastAsia" w:ascii="宋体" w:hAnsi="宋体" w:eastAsia="宋体" w:cs="宋体"/>
                <w:u w:val="single"/>
              </w:rPr>
              <w:t>3.1.5 工艺设计与建筑设计协同关系见图3.1.5。</w:t>
            </w:r>
          </w:p>
          <w:p w14:paraId="0D01120C">
            <w:pPr>
              <w:spacing w:line="240" w:lineRule="auto"/>
              <w:jc w:val="center"/>
              <w:rPr>
                <w:rFonts w:ascii="宋体" w:hAnsi="宋体" w:eastAsia="宋体"/>
                <w:sz w:val="21"/>
                <w:szCs w:val="22"/>
              </w:rPr>
            </w:pPr>
            <w:r>
              <w:rPr>
                <w:rFonts w:hint="eastAsia" w:ascii="宋体" w:hAnsi="宋体" w:eastAsia="宋体"/>
                <w:sz w:val="21"/>
                <w:szCs w:val="22"/>
              </w:rPr>
              <w:drawing>
                <wp:inline distT="0" distB="0" distL="114300" distR="114300">
                  <wp:extent cx="2562860" cy="1137285"/>
                  <wp:effectExtent l="0" t="0" r="8890" b="5715"/>
                  <wp:docPr id="1" name="ECB019B1-382A-4266-B25C-5B523AA43C14-1" descr="C:/Users/Thinkpad/AppData/Local/Temp/wps.gpWHK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Thinkpad/AppData/Local/Temp/wps.gpWHKJwps"/>
                          <pic:cNvPicPr>
                            <a:picLocks noChangeAspect="1"/>
                          </pic:cNvPicPr>
                        </pic:nvPicPr>
                        <pic:blipFill>
                          <a:blip r:embed="rId11"/>
                          <a:srcRect l="4014" t="10743" r="2748" b="5157"/>
                          <a:stretch>
                            <a:fillRect/>
                          </a:stretch>
                        </pic:blipFill>
                        <pic:spPr>
                          <a:xfrm>
                            <a:off x="0" y="0"/>
                            <a:ext cx="2563200" cy="1137600"/>
                          </a:xfrm>
                          <a:prstGeom prst="rect">
                            <a:avLst/>
                          </a:prstGeom>
                          <a:noFill/>
                          <a:ln>
                            <a:noFill/>
                          </a:ln>
                        </pic:spPr>
                      </pic:pic>
                    </a:graphicData>
                  </a:graphic>
                </wp:inline>
              </w:drawing>
            </w:r>
          </w:p>
          <w:p w14:paraId="7D1E1179">
            <w:pPr>
              <w:jc w:val="center"/>
              <w:rPr>
                <w:u w:val="single"/>
              </w:rPr>
            </w:pPr>
            <w:r>
              <w:rPr>
                <w:rFonts w:hint="eastAsia" w:ascii="宋体" w:hAnsi="宋体" w:eastAsia="宋体"/>
                <w:b/>
                <w:bCs/>
                <w:sz w:val="18"/>
                <w:szCs w:val="22"/>
                <w:u w:val="single"/>
              </w:rPr>
              <w:t>图3.1.5</w:t>
            </w:r>
            <w:r>
              <w:rPr>
                <w:rFonts w:ascii="宋体" w:hAnsi="宋体" w:eastAsia="宋体"/>
                <w:b/>
                <w:bCs/>
                <w:sz w:val="18"/>
                <w:szCs w:val="22"/>
                <w:u w:val="single"/>
              </w:rPr>
              <w:t xml:space="preserve"> </w:t>
            </w:r>
            <w:r>
              <w:rPr>
                <w:rFonts w:hint="eastAsia" w:ascii="宋体" w:hAnsi="宋体" w:eastAsia="宋体"/>
                <w:b/>
                <w:bCs/>
                <w:sz w:val="18"/>
                <w:szCs w:val="22"/>
                <w:u w:val="single"/>
              </w:rPr>
              <w:t>工艺设计与建筑设计协同关系</w:t>
            </w:r>
          </w:p>
        </w:tc>
      </w:tr>
      <w:tr w14:paraId="35A54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46574BF">
            <w:pPr>
              <w:jc w:val="center"/>
              <w:rPr>
                <w:rFonts w:asciiTheme="minorEastAsia" w:hAnsiTheme="minorEastAsia"/>
              </w:rPr>
            </w:pPr>
            <w:bookmarkStart w:id="2" w:name="_Toc85880716"/>
            <w:r>
              <w:rPr>
                <w:rFonts w:hint="eastAsia" w:asciiTheme="minorEastAsia" w:hAnsiTheme="minorEastAsia"/>
              </w:rPr>
              <w:t>3.2 医疗工艺设计参数</w:t>
            </w:r>
            <w:bookmarkEnd w:id="2"/>
          </w:p>
        </w:tc>
        <w:tc>
          <w:tcPr>
            <w:tcW w:w="4261" w:type="dxa"/>
          </w:tcPr>
          <w:p w14:paraId="333C9177">
            <w:pPr>
              <w:jc w:val="center"/>
              <w:rPr>
                <w:rFonts w:asciiTheme="minorEastAsia" w:hAnsiTheme="minorEastAsia"/>
              </w:rPr>
            </w:pPr>
            <w:r>
              <w:rPr>
                <w:rFonts w:hint="eastAsia" w:asciiTheme="minorEastAsia" w:hAnsiTheme="minorEastAsia"/>
              </w:rPr>
              <w:t>3.2 医疗工艺设计参数</w:t>
            </w:r>
          </w:p>
        </w:tc>
      </w:tr>
      <w:tr w14:paraId="50AB9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F96E095">
            <w:pPr>
              <w:rPr>
                <w:rFonts w:ascii="宋体" w:hAnsi="宋体" w:eastAsia="宋体"/>
                <w:bCs/>
                <w:bdr w:val="single" w:color="000000" w:sz="4" w:space="0"/>
              </w:rPr>
            </w:pPr>
            <w:r>
              <w:rPr>
                <w:rFonts w:hint="eastAsia" w:ascii="宋体" w:hAnsi="宋体" w:eastAsia="宋体"/>
                <w:bCs/>
                <w:bdr w:val="single" w:color="000000" w:sz="4" w:space="0"/>
              </w:rPr>
              <w:t>3.2.1 医疗工艺设计参数应根据不同医院的要求研究确定，当无相关数据时应符合下列要求：</w:t>
            </w:r>
          </w:p>
          <w:p w14:paraId="7A326DE5">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1 门诊诊室间数可按日平均门诊诊疗人次/（50人次～60人次）测算；</w:t>
            </w:r>
          </w:p>
          <w:p w14:paraId="7BAEEC1D">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2 急救抢救床数可按急救通过量测算；</w:t>
            </w:r>
          </w:p>
          <w:p w14:paraId="00A5138B">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3 1个护理单元宜设40张～50张病床；</w:t>
            </w:r>
          </w:p>
          <w:p w14:paraId="57EB6A7A">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4 手术室间数宜按病床总数每50床或外科病床数每25床～30床设置1间；</w:t>
            </w:r>
          </w:p>
          <w:p w14:paraId="7D609FE3">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5 重症监护病房（ICU）床数宜按总床位数的2％～3％设置；</w:t>
            </w:r>
          </w:p>
          <w:p w14:paraId="7EE2BD66">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6 心血管造影机台数可按年平均心血管造影或介入治疗数/（3例～5例×年工作日数）测量；</w:t>
            </w:r>
          </w:p>
          <w:p w14:paraId="5B88EEA9">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7 日拍片人次达到40人次～50人次时，可设X线拍片机1台；</w:t>
            </w:r>
          </w:p>
          <w:p w14:paraId="2F38A5EF">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8 日胃肠透视人数达到10例～15例时，可设胃肠透视机1台；</w:t>
            </w:r>
          </w:p>
          <w:p w14:paraId="2B4281D1">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9 日胸透视人数达到50人次～80人次时，可设胸部透视机1台；</w:t>
            </w:r>
          </w:p>
          <w:p w14:paraId="317AE70C">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10 日心电检诊人次达到60人次～80人次时，可设心电检诊间1间；</w:t>
            </w:r>
          </w:p>
          <w:p w14:paraId="52FE9312">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11 日腹部B超人数达到40人次～60人次时，可设腹部B超机1台；</w:t>
            </w:r>
          </w:p>
          <w:p w14:paraId="0B5CFFF8">
            <w:pPr>
              <w:ind w:firstLine="480" w:firstLineChars="200"/>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12 日心血管彩超人数达到15人次～20人次时，可设心血管彩超机1台；</w:t>
            </w:r>
          </w:p>
          <w:p w14:paraId="09D48C30">
            <w:pPr>
              <w:ind w:firstLine="480" w:firstLineChars="200"/>
            </w:pPr>
            <w:r>
              <w:rPr>
                <w:rFonts w:hint="eastAsia" w:ascii="宋体" w:hAnsi="宋体" w:eastAsia="宋体" w:cs="宋体"/>
                <w:bCs/>
                <w:szCs w:val="36"/>
                <w:bdr w:val="single" w:color="000000" w:sz="4" w:space="0"/>
              </w:rPr>
              <w:t>13 日检诊人数达到10例～15例时，可设十二指肠纤维内窥镜1台。</w:t>
            </w:r>
          </w:p>
        </w:tc>
        <w:tc>
          <w:tcPr>
            <w:tcW w:w="4261" w:type="dxa"/>
          </w:tcPr>
          <w:p w14:paraId="3A12BEAB">
            <w:pPr>
              <w:rPr>
                <w:rFonts w:ascii="宋体" w:hAnsi="宋体" w:eastAsia="宋体" w:cs="宋体"/>
                <w:u w:val="single"/>
              </w:rPr>
            </w:pPr>
            <w:r>
              <w:rPr>
                <w:rFonts w:hint="eastAsia" w:ascii="宋体" w:hAnsi="宋体" w:eastAsia="宋体" w:cs="黑体"/>
                <w:u w:val="single"/>
              </w:rPr>
              <w:t>3.2.1 医疗工艺设计参数分为诊疗量参数、部品装备参数、设备参数，要求如下。</w:t>
            </w:r>
          </w:p>
          <w:p w14:paraId="7C29668E">
            <w:pPr>
              <w:ind w:firstLine="480" w:firstLineChars="200"/>
              <w:rPr>
                <w:rFonts w:ascii="宋体" w:hAnsi="宋体" w:eastAsia="宋体" w:cs="宋体"/>
                <w:u w:val="single"/>
              </w:rPr>
            </w:pPr>
            <w:r>
              <w:rPr>
                <w:rFonts w:hint="eastAsia" w:ascii="宋体" w:hAnsi="宋体" w:eastAsia="宋体" w:cs="宋体"/>
                <w:u w:val="single"/>
              </w:rPr>
              <w:t>1 诊疗量参数：以医院及各科诊疗量为参数测算人流量、建筑空间和医疗设备配置。</w:t>
            </w:r>
          </w:p>
          <w:p w14:paraId="5B505DE1">
            <w:pPr>
              <w:ind w:firstLine="480" w:firstLineChars="200"/>
              <w:rPr>
                <w:rFonts w:ascii="宋体" w:hAnsi="宋体" w:eastAsia="宋体" w:cs="宋体"/>
                <w:u w:val="single"/>
              </w:rPr>
            </w:pPr>
            <w:r>
              <w:rPr>
                <w:rFonts w:hint="eastAsia" w:ascii="宋体" w:hAnsi="宋体" w:eastAsia="宋体" w:cs="宋体"/>
                <w:u w:val="single"/>
              </w:rPr>
              <w:t>2</w:t>
            </w:r>
            <w:r>
              <w:rPr>
                <w:rFonts w:ascii="宋体" w:hAnsi="宋体" w:eastAsia="宋体" w:cs="宋体"/>
                <w:u w:val="single"/>
              </w:rPr>
              <w:t xml:space="preserve"> </w:t>
            </w:r>
            <w:r>
              <w:rPr>
                <w:rFonts w:hint="eastAsia" w:ascii="宋体" w:hAnsi="宋体" w:eastAsia="宋体" w:cs="宋体"/>
                <w:u w:val="single"/>
              </w:rPr>
              <w:t>部品装备参数：以医用家具、护理装备规格为参数，进行各建筑空间布置。</w:t>
            </w:r>
          </w:p>
          <w:p w14:paraId="352E6A2A">
            <w:pPr>
              <w:ind w:firstLine="480" w:firstLineChars="200"/>
            </w:pPr>
            <w:r>
              <w:rPr>
                <w:rFonts w:hint="eastAsia" w:ascii="宋体" w:hAnsi="宋体" w:eastAsia="宋体" w:cs="宋体"/>
                <w:u w:val="single"/>
              </w:rPr>
              <w:t>3 设备参数：按大型医疗设备场地技术参数，进行各机房场地工程技术设计。</w:t>
            </w:r>
          </w:p>
        </w:tc>
      </w:tr>
      <w:tr w14:paraId="7CD30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1BAF855">
            <w:pPr>
              <w:jc w:val="left"/>
              <w:rPr>
                <w:rFonts w:ascii="宋体" w:hAnsi="宋体" w:eastAsia="宋体" w:cs="宋体"/>
                <w:bCs/>
                <w:szCs w:val="36"/>
                <w:bdr w:val="single" w:color="000000" w:sz="4" w:space="0"/>
              </w:rPr>
            </w:pPr>
            <w:r>
              <w:rPr>
                <w:rFonts w:hint="eastAsia" w:ascii="宋体" w:hAnsi="宋体" w:eastAsia="宋体" w:cs="宋体"/>
                <w:bCs/>
                <w:szCs w:val="36"/>
                <w:bdr w:val="single" w:color="000000" w:sz="4" w:space="0"/>
              </w:rPr>
              <w:t>3.2.2 各科门诊量应根据医院统计数据确定，当无统计数据时可按表3.2.2确定。</w:t>
            </w:r>
          </w:p>
          <w:p w14:paraId="5CD5CAAA">
            <w:pPr>
              <w:jc w:val="center"/>
              <w:rPr>
                <w:rFonts w:ascii="宋体" w:hAnsi="宋体" w:eastAsia="宋体"/>
                <w:b/>
                <w:bCs/>
                <w:sz w:val="18"/>
                <w:bdr w:val="single" w:color="000000" w:sz="4" w:space="0"/>
              </w:rPr>
            </w:pPr>
            <w:r>
              <w:rPr>
                <w:rFonts w:hint="eastAsia" w:ascii="宋体" w:hAnsi="宋体" w:eastAsia="宋体"/>
                <w:b/>
                <w:bCs/>
                <w:sz w:val="18"/>
                <w:bdr w:val="single" w:color="000000" w:sz="4" w:space="0"/>
              </w:rPr>
              <w:t>表3</w:t>
            </w:r>
            <w:r>
              <w:rPr>
                <w:rFonts w:ascii="宋体" w:hAnsi="宋体" w:eastAsia="宋体"/>
                <w:b/>
                <w:bCs/>
                <w:sz w:val="18"/>
                <w:bdr w:val="single" w:color="000000" w:sz="4" w:space="0"/>
              </w:rPr>
              <w:t>.</w:t>
            </w:r>
            <w:r>
              <w:rPr>
                <w:rFonts w:hint="eastAsia" w:ascii="宋体" w:hAnsi="宋体" w:eastAsia="宋体"/>
                <w:b/>
                <w:bCs/>
                <w:sz w:val="18"/>
                <w:bdr w:val="single" w:color="000000" w:sz="4" w:space="0"/>
              </w:rPr>
              <w:t>2</w:t>
            </w:r>
            <w:r>
              <w:rPr>
                <w:rFonts w:ascii="宋体" w:hAnsi="宋体" w:eastAsia="宋体"/>
                <w:b/>
                <w:bCs/>
                <w:sz w:val="18"/>
                <w:bdr w:val="single" w:color="000000" w:sz="4" w:space="0"/>
              </w:rPr>
              <w:t>.</w:t>
            </w:r>
            <w:r>
              <w:rPr>
                <w:rFonts w:hint="eastAsia" w:ascii="宋体" w:hAnsi="宋体" w:eastAsia="宋体"/>
                <w:b/>
                <w:bCs/>
                <w:sz w:val="18"/>
                <w:bdr w:val="single" w:color="000000" w:sz="4" w:space="0"/>
              </w:rPr>
              <w:t>2</w:t>
            </w:r>
            <w:r>
              <w:rPr>
                <w:rFonts w:ascii="宋体" w:hAnsi="宋体" w:eastAsia="宋体"/>
                <w:b/>
                <w:bCs/>
                <w:sz w:val="18"/>
                <w:bdr w:val="single" w:color="000000" w:sz="4" w:space="0"/>
              </w:rPr>
              <w:t xml:space="preserve"> </w:t>
            </w:r>
            <w:r>
              <w:rPr>
                <w:rFonts w:hint="eastAsia" w:ascii="宋体" w:hAnsi="宋体" w:eastAsia="宋体"/>
                <w:b/>
                <w:bCs/>
                <w:sz w:val="18"/>
                <w:bdr w:val="single" w:color="000000" w:sz="4" w:space="0"/>
              </w:rPr>
              <w:t>各科门诊量占总门诊量比例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56"/>
              <w:gridCol w:w="2279"/>
            </w:tblGrid>
            <w:tr w14:paraId="06B2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10CCCA48">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科别</w:t>
                  </w:r>
                </w:p>
              </w:tc>
              <w:tc>
                <w:tcPr>
                  <w:tcW w:w="2279" w:type="dxa"/>
                  <w:vAlign w:val="center"/>
                </w:tcPr>
                <w:p w14:paraId="1B78DC90">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占门诊总量比率</w:t>
                  </w:r>
                  <w:r>
                    <w:rPr>
                      <w:rFonts w:ascii="宋体" w:hAnsi="宋体" w:eastAsia="宋体"/>
                      <w:bCs/>
                      <w:kern w:val="0"/>
                      <w:sz w:val="18"/>
                      <w:szCs w:val="18"/>
                      <w:bdr w:val="single" w:color="000000" w:sz="4" w:space="0"/>
                    </w:rPr>
                    <w:t>（％）</w:t>
                  </w:r>
                </w:p>
              </w:tc>
            </w:tr>
            <w:tr w14:paraId="157A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7F6DC78C">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内科</w:t>
                  </w:r>
                </w:p>
              </w:tc>
              <w:tc>
                <w:tcPr>
                  <w:tcW w:w="2279" w:type="dxa"/>
                  <w:vAlign w:val="center"/>
                </w:tcPr>
                <w:p w14:paraId="318D5174">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28</w:t>
                  </w:r>
                </w:p>
              </w:tc>
            </w:tr>
            <w:tr w14:paraId="28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1A3C1EB1">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外科</w:t>
                  </w:r>
                </w:p>
              </w:tc>
              <w:tc>
                <w:tcPr>
                  <w:tcW w:w="2279" w:type="dxa"/>
                  <w:vAlign w:val="center"/>
                </w:tcPr>
                <w:p w14:paraId="0F7222A1">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25</w:t>
                  </w:r>
                </w:p>
              </w:tc>
            </w:tr>
            <w:tr w14:paraId="2789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2ED222F7">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妇科</w:t>
                  </w:r>
                </w:p>
              </w:tc>
              <w:tc>
                <w:tcPr>
                  <w:tcW w:w="2279" w:type="dxa"/>
                  <w:vAlign w:val="center"/>
                </w:tcPr>
                <w:p w14:paraId="4E943A31">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15</w:t>
                  </w:r>
                </w:p>
              </w:tc>
            </w:tr>
            <w:tr w14:paraId="3CEE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58C972AE">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产科</w:t>
                  </w:r>
                </w:p>
              </w:tc>
              <w:tc>
                <w:tcPr>
                  <w:tcW w:w="2279" w:type="dxa"/>
                  <w:vAlign w:val="center"/>
                </w:tcPr>
                <w:p w14:paraId="4341588C">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3</w:t>
                  </w:r>
                </w:p>
              </w:tc>
            </w:tr>
            <w:tr w14:paraId="7763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3299C4E5">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儿科</w:t>
                  </w:r>
                </w:p>
              </w:tc>
              <w:tc>
                <w:tcPr>
                  <w:tcW w:w="2279" w:type="dxa"/>
                  <w:vAlign w:val="center"/>
                </w:tcPr>
                <w:p w14:paraId="50235AE9">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8</w:t>
                  </w:r>
                </w:p>
              </w:tc>
            </w:tr>
            <w:tr w14:paraId="00E8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3C9A522B">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耳鼻喉科、眼科</w:t>
                  </w:r>
                </w:p>
              </w:tc>
              <w:tc>
                <w:tcPr>
                  <w:tcW w:w="2279" w:type="dxa"/>
                  <w:vAlign w:val="center"/>
                </w:tcPr>
                <w:p w14:paraId="074F1BC2">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10</w:t>
                  </w:r>
                </w:p>
              </w:tc>
            </w:tr>
            <w:tr w14:paraId="100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75E94356">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中医</w:t>
                  </w:r>
                </w:p>
              </w:tc>
              <w:tc>
                <w:tcPr>
                  <w:tcW w:w="2279" w:type="dxa"/>
                  <w:vAlign w:val="center"/>
                </w:tcPr>
                <w:p w14:paraId="10C927F1">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5</w:t>
                  </w:r>
                </w:p>
              </w:tc>
            </w:tr>
            <w:tr w14:paraId="1919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56" w:type="dxa"/>
                  <w:vAlign w:val="center"/>
                </w:tcPr>
                <w:p w14:paraId="04D21B7A">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其他</w:t>
                  </w:r>
                </w:p>
              </w:tc>
              <w:tc>
                <w:tcPr>
                  <w:tcW w:w="2279" w:type="dxa"/>
                  <w:vAlign w:val="center"/>
                </w:tcPr>
                <w:p w14:paraId="0B74C0E9">
                  <w:pPr>
                    <w:spacing w:line="240" w:lineRule="auto"/>
                    <w:jc w:val="center"/>
                    <w:rPr>
                      <w:rFonts w:ascii="宋体" w:hAnsi="宋体" w:eastAsia="宋体"/>
                      <w:bCs/>
                      <w:kern w:val="0"/>
                      <w:sz w:val="18"/>
                      <w:szCs w:val="18"/>
                      <w:bdr w:val="single" w:color="000000" w:sz="4" w:space="0"/>
                    </w:rPr>
                  </w:pPr>
                  <w:r>
                    <w:rPr>
                      <w:rFonts w:hint="eastAsia" w:ascii="宋体" w:hAnsi="宋体" w:eastAsia="宋体"/>
                      <w:bCs/>
                      <w:kern w:val="0"/>
                      <w:sz w:val="18"/>
                      <w:szCs w:val="18"/>
                      <w:bdr w:val="single" w:color="000000" w:sz="4" w:space="0"/>
                    </w:rPr>
                    <w:t>6</w:t>
                  </w:r>
                </w:p>
              </w:tc>
            </w:tr>
          </w:tbl>
          <w:p w14:paraId="7C25C97A"/>
        </w:tc>
        <w:tc>
          <w:tcPr>
            <w:tcW w:w="4261" w:type="dxa"/>
          </w:tcPr>
          <w:p w14:paraId="50AF36D2">
            <w:pPr>
              <w:rPr>
                <w:rFonts w:ascii="宋体" w:hAnsi="宋体" w:eastAsia="宋体" w:cs="宋体"/>
                <w:bCs/>
                <w:u w:val="single"/>
              </w:rPr>
            </w:pPr>
            <w:r>
              <w:rPr>
                <w:rFonts w:hint="eastAsia" w:ascii="宋体" w:hAnsi="宋体" w:eastAsia="宋体" w:cs="宋体"/>
                <w:bCs/>
                <w:u w:val="single"/>
              </w:rPr>
              <w:t>3.2.2 诊疗量参数</w:t>
            </w:r>
          </w:p>
          <w:p w14:paraId="6CD6E689">
            <w:pPr>
              <w:ind w:firstLine="480" w:firstLineChars="200"/>
              <w:rPr>
                <w:rFonts w:ascii="宋体" w:hAnsi="宋体" w:eastAsia="宋体" w:cs="宋体"/>
                <w:bCs/>
                <w:u w:val="single"/>
              </w:rPr>
            </w:pPr>
            <w:r>
              <w:rPr>
                <w:rFonts w:hint="eastAsia" w:ascii="宋体" w:hAnsi="宋体" w:eastAsia="宋体" w:cs="宋体"/>
                <w:bCs/>
                <w:u w:val="single"/>
              </w:rPr>
              <w:t>1</w:t>
            </w:r>
            <w:r>
              <w:rPr>
                <w:rFonts w:ascii="宋体" w:hAnsi="宋体" w:eastAsia="宋体" w:cs="宋体"/>
                <w:bCs/>
                <w:u w:val="single"/>
              </w:rPr>
              <w:t xml:space="preserve"> </w:t>
            </w:r>
            <w:r>
              <w:rPr>
                <w:rFonts w:hint="eastAsia" w:ascii="宋体" w:hAnsi="宋体" w:eastAsia="宋体" w:cs="宋体"/>
                <w:bCs/>
                <w:u w:val="single"/>
              </w:rPr>
              <w:t>门诊诊疗量参数</w:t>
            </w:r>
          </w:p>
          <w:p w14:paraId="0B570438">
            <w:pPr>
              <w:ind w:firstLine="480" w:firstLineChars="200"/>
              <w:rPr>
                <w:rFonts w:ascii="宋体" w:hAnsi="宋体" w:eastAsia="宋体" w:cs="宋体"/>
                <w:bCs/>
                <w:u w:val="single"/>
              </w:rPr>
            </w:pPr>
            <w:r>
              <w:rPr>
                <w:rFonts w:hint="eastAsia" w:ascii="宋体" w:hAnsi="宋体" w:eastAsia="宋体" w:cs="宋体"/>
                <w:bCs/>
                <w:u w:val="single"/>
              </w:rPr>
              <w:t>以医院日门诊量（人次）为基数进行门诊空间测算。</w:t>
            </w:r>
          </w:p>
          <w:p w14:paraId="244981EE">
            <w:pPr>
              <w:ind w:firstLine="480" w:firstLineChars="200"/>
              <w:rPr>
                <w:rFonts w:ascii="宋体" w:hAnsi="宋体" w:eastAsia="宋体" w:cs="宋体"/>
                <w:bCs/>
                <w:u w:val="single"/>
              </w:rPr>
            </w:pPr>
            <w:r>
              <w:rPr>
                <w:rFonts w:hint="eastAsia" w:ascii="宋体" w:hAnsi="宋体" w:eastAsia="宋体" w:cs="宋体"/>
                <w:bCs/>
                <w:u w:val="single"/>
              </w:rPr>
              <w:t>①依据历年统计数据测算方法</w:t>
            </w:r>
          </w:p>
          <w:p w14:paraId="330A5A08">
            <w:pPr>
              <w:ind w:firstLine="480" w:firstLineChars="200"/>
              <w:rPr>
                <w:rFonts w:ascii="宋体" w:hAnsi="宋体" w:eastAsia="宋体" w:cs="宋体"/>
                <w:bCs/>
                <w:u w:val="single"/>
              </w:rPr>
            </w:pPr>
            <w:r>
              <w:rPr>
                <w:rFonts w:hint="eastAsia" w:ascii="宋体" w:hAnsi="宋体" w:eastAsia="宋体" w:cs="宋体"/>
                <w:bCs/>
                <w:u w:val="single"/>
              </w:rPr>
              <w:t>测算公式：</w:t>
            </w:r>
          </w:p>
          <w:p w14:paraId="2F2CC531">
            <w:pPr>
              <w:ind w:firstLine="480" w:firstLineChars="200"/>
              <w:rPr>
                <w:rFonts w:ascii="宋体" w:hAnsi="宋体" w:eastAsia="宋体" w:cs="宋体"/>
                <w:bCs/>
                <w:u w:val="single"/>
              </w:rPr>
            </w:pPr>
            <w:r>
              <w:rPr>
                <w:rFonts w:hint="eastAsia" w:ascii="宋体" w:hAnsi="宋体" w:eastAsia="宋体" w:cs="宋体"/>
                <w:bCs/>
                <w:u w:val="single"/>
              </w:rPr>
              <w:t>预设诊室间数=预设日门诊人次/诊室日均诊疗人次/间</w:t>
            </w:r>
          </w:p>
          <w:p w14:paraId="6395ABEF">
            <w:pPr>
              <w:ind w:firstLine="480" w:firstLineChars="200"/>
              <w:rPr>
                <w:rFonts w:ascii="宋体" w:hAnsi="宋体" w:eastAsia="宋体" w:cs="宋体"/>
                <w:bCs/>
                <w:u w:val="single"/>
              </w:rPr>
            </w:pPr>
            <w:r>
              <w:rPr>
                <w:rFonts w:hint="eastAsia" w:ascii="宋体" w:hAnsi="宋体" w:eastAsia="宋体" w:cs="宋体"/>
                <w:bCs/>
                <w:u w:val="single"/>
              </w:rPr>
              <w:t>注：诊室日均诊疗人次=统计年门诊人次/（年工作日x现状诊室间数）</w:t>
            </w:r>
          </w:p>
          <w:p w14:paraId="7FF1E66F">
            <w:pPr>
              <w:ind w:firstLine="480" w:firstLineChars="200"/>
              <w:rPr>
                <w:rFonts w:ascii="宋体" w:hAnsi="宋体" w:eastAsia="宋体" w:cs="宋体"/>
                <w:bCs/>
                <w:u w:val="single"/>
              </w:rPr>
            </w:pPr>
            <w:r>
              <w:rPr>
                <w:rFonts w:hint="eastAsia" w:ascii="宋体" w:hAnsi="宋体" w:eastAsia="宋体" w:cs="宋体"/>
                <w:bCs/>
                <w:u w:val="single"/>
              </w:rPr>
              <w:t>②无统计数据测算方法</w:t>
            </w:r>
          </w:p>
          <w:p w14:paraId="7E221EC4">
            <w:pPr>
              <w:spacing w:after="156" w:afterLines="50"/>
              <w:ind w:firstLine="480" w:firstLineChars="200"/>
              <w:rPr>
                <w:rFonts w:ascii="宋体" w:hAnsi="宋体" w:eastAsia="宋体" w:cs="宋体"/>
                <w:bCs/>
                <w:u w:val="single"/>
              </w:rPr>
            </w:pPr>
            <w:r>
              <w:rPr>
                <w:rFonts w:hint="eastAsia" w:ascii="宋体" w:hAnsi="宋体" w:eastAsia="宋体" w:cs="宋体"/>
                <w:bCs/>
                <w:u w:val="single"/>
              </w:rPr>
              <w:t>测算公式：诊室间数=医院或分科日门诊人次/单间诊室日均诊疗人次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57"/>
              <w:gridCol w:w="2783"/>
            </w:tblGrid>
            <w:tr w14:paraId="24F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257" w:type="dxa"/>
                  <w:vAlign w:val="center"/>
                </w:tcPr>
                <w:p w14:paraId="7E033B83">
                  <w:pPr>
                    <w:spacing w:line="240" w:lineRule="auto"/>
                    <w:jc w:val="center"/>
                    <w:rPr>
                      <w:rFonts w:ascii="宋体" w:hAnsi="宋体" w:eastAsia="宋体"/>
                      <w:bCs/>
                      <w:kern w:val="0"/>
                      <w:sz w:val="18"/>
                      <w:szCs w:val="18"/>
                      <w:u w:val="single"/>
                    </w:rPr>
                  </w:pPr>
                  <w:r>
                    <w:rPr>
                      <w:rFonts w:hint="eastAsia" w:ascii="宋体" w:hAnsi="宋体" w:eastAsia="宋体"/>
                      <w:bCs/>
                      <w:kern w:val="0"/>
                      <w:sz w:val="18"/>
                      <w:szCs w:val="18"/>
                      <w:u w:val="single"/>
                    </w:rPr>
                    <w:t>计算步骤</w:t>
                  </w:r>
                </w:p>
              </w:tc>
              <w:tc>
                <w:tcPr>
                  <w:tcW w:w="2783" w:type="dxa"/>
                  <w:vAlign w:val="center"/>
                </w:tcPr>
                <w:p w14:paraId="5D0F0999">
                  <w:pPr>
                    <w:spacing w:line="240" w:lineRule="auto"/>
                    <w:jc w:val="center"/>
                    <w:rPr>
                      <w:rFonts w:ascii="宋体" w:hAnsi="宋体" w:eastAsia="宋体"/>
                      <w:bCs/>
                      <w:kern w:val="0"/>
                      <w:sz w:val="18"/>
                      <w:szCs w:val="18"/>
                      <w:u w:val="single"/>
                    </w:rPr>
                  </w:pPr>
                  <w:r>
                    <w:rPr>
                      <w:rFonts w:hint="eastAsia" w:ascii="宋体" w:hAnsi="宋体" w:eastAsia="宋体"/>
                      <w:bCs/>
                      <w:kern w:val="0"/>
                      <w:sz w:val="18"/>
                      <w:szCs w:val="18"/>
                      <w:u w:val="single"/>
                    </w:rPr>
                    <w:t>方法</w:t>
                  </w:r>
                </w:p>
              </w:tc>
            </w:tr>
            <w:tr w14:paraId="373E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1257" w:type="dxa"/>
                  <w:vAlign w:val="center"/>
                </w:tcPr>
                <w:p w14:paraId="2A1EC5A1">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1、日门诊人次</w:t>
                  </w:r>
                </w:p>
              </w:tc>
              <w:tc>
                <w:tcPr>
                  <w:tcW w:w="2783" w:type="dxa"/>
                  <w:vAlign w:val="center"/>
                </w:tcPr>
                <w:p w14:paraId="79907DFD">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=新设计年门诊人次/门诊年工作日</w:t>
                  </w:r>
                </w:p>
              </w:tc>
            </w:tr>
            <w:tr w14:paraId="600F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1257" w:type="dxa"/>
                  <w:vAlign w:val="center"/>
                </w:tcPr>
                <w:p w14:paraId="69E55549">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2、分科门诊量</w:t>
                  </w:r>
                </w:p>
              </w:tc>
              <w:tc>
                <w:tcPr>
                  <w:tcW w:w="2783" w:type="dxa"/>
                  <w:vAlign w:val="center"/>
                </w:tcPr>
                <w:p w14:paraId="1E05D027">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=日门诊人次x分科日门诊占比*1</w:t>
                  </w:r>
                </w:p>
              </w:tc>
            </w:tr>
            <w:tr w14:paraId="5AE4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1257" w:type="dxa"/>
                  <w:vAlign w:val="center"/>
                </w:tcPr>
                <w:p w14:paraId="3E7C1C6D">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3、新设计诊室间数</w:t>
                  </w:r>
                </w:p>
              </w:tc>
              <w:tc>
                <w:tcPr>
                  <w:tcW w:w="2783" w:type="dxa"/>
                  <w:vAlign w:val="center"/>
                </w:tcPr>
                <w:p w14:paraId="3A5B47F5">
                  <w:pPr>
                    <w:spacing w:line="240" w:lineRule="auto"/>
                    <w:rPr>
                      <w:rFonts w:ascii="宋体" w:hAnsi="宋体" w:eastAsia="宋体"/>
                      <w:bCs/>
                      <w:kern w:val="0"/>
                      <w:sz w:val="18"/>
                      <w:szCs w:val="18"/>
                      <w:u w:val="single"/>
                    </w:rPr>
                  </w:pPr>
                  <w:r>
                    <w:rPr>
                      <w:rFonts w:hint="eastAsia" w:ascii="宋体" w:hAnsi="宋体" w:eastAsia="宋体"/>
                      <w:bCs/>
                      <w:kern w:val="0"/>
                      <w:sz w:val="18"/>
                      <w:szCs w:val="18"/>
                      <w:u w:val="single"/>
                    </w:rPr>
                    <w:t>=医院或分科日门诊人次/诊室日均诊疗人次*2</w:t>
                  </w:r>
                </w:p>
              </w:tc>
            </w:tr>
          </w:tbl>
          <w:p w14:paraId="031D7C3E">
            <w:pPr>
              <w:spacing w:line="240" w:lineRule="auto"/>
              <w:ind w:firstLine="360" w:firstLineChars="200"/>
              <w:rPr>
                <w:rFonts w:ascii="宋体" w:hAnsi="宋体" w:eastAsia="宋体" w:cs="宋体"/>
                <w:bCs/>
                <w:sz w:val="18"/>
                <w:szCs w:val="18"/>
                <w:u w:val="single"/>
              </w:rPr>
            </w:pPr>
            <w:r>
              <w:rPr>
                <w:rFonts w:hint="eastAsia" w:ascii="宋体" w:hAnsi="宋体" w:eastAsia="宋体" w:cs="宋体"/>
                <w:bCs/>
                <w:sz w:val="18"/>
                <w:szCs w:val="18"/>
                <w:u w:val="single"/>
              </w:rPr>
              <w:t>*1：分科日门诊占比参见条文说明表3.2.1条中附表3.2.1-1。</w:t>
            </w:r>
          </w:p>
          <w:p w14:paraId="1D341012">
            <w:pPr>
              <w:spacing w:line="240" w:lineRule="auto"/>
              <w:ind w:firstLine="360" w:firstLineChars="200"/>
              <w:rPr>
                <w:rFonts w:ascii="宋体" w:hAnsi="宋体" w:eastAsia="宋体" w:cs="宋体"/>
                <w:bCs/>
                <w:sz w:val="18"/>
                <w:szCs w:val="18"/>
                <w:u w:val="single"/>
              </w:rPr>
            </w:pPr>
            <w:r>
              <w:rPr>
                <w:rFonts w:hint="eastAsia" w:ascii="宋体" w:hAnsi="宋体" w:eastAsia="宋体" w:cs="宋体"/>
                <w:bCs/>
                <w:sz w:val="18"/>
                <w:szCs w:val="18"/>
                <w:u w:val="single"/>
              </w:rPr>
              <w:t>*2：诊室日均诊疗人次按60-80人次/日/间计算。</w:t>
            </w:r>
          </w:p>
          <w:p w14:paraId="71594932">
            <w:pPr>
              <w:spacing w:before="156" w:beforeLines="50"/>
              <w:ind w:firstLine="480" w:firstLineChars="200"/>
              <w:rPr>
                <w:rFonts w:ascii="宋体" w:hAnsi="宋体" w:eastAsia="宋体" w:cs="宋体"/>
                <w:bCs/>
                <w:u w:val="single"/>
              </w:rPr>
            </w:pPr>
            <w:r>
              <w:rPr>
                <w:rFonts w:hint="eastAsia" w:ascii="宋体" w:hAnsi="宋体" w:eastAsia="宋体" w:cs="宋体"/>
                <w:bCs/>
                <w:u w:val="single"/>
              </w:rPr>
              <w:t>2</w:t>
            </w:r>
            <w:r>
              <w:rPr>
                <w:rFonts w:ascii="宋体" w:hAnsi="宋体" w:eastAsia="宋体" w:cs="宋体"/>
                <w:bCs/>
                <w:u w:val="single"/>
              </w:rPr>
              <w:t xml:space="preserve"> </w:t>
            </w:r>
            <w:r>
              <w:rPr>
                <w:rFonts w:hint="eastAsia" w:ascii="宋体" w:hAnsi="宋体" w:eastAsia="宋体" w:cs="宋体"/>
                <w:bCs/>
                <w:u w:val="single"/>
              </w:rPr>
              <w:t>住院诊疗量参数</w:t>
            </w:r>
          </w:p>
          <w:p w14:paraId="0959FF06">
            <w:pPr>
              <w:ind w:firstLine="480" w:firstLineChars="200"/>
              <w:rPr>
                <w:rFonts w:ascii="宋体" w:hAnsi="宋体" w:eastAsia="宋体" w:cs="宋体"/>
                <w:bCs/>
                <w:u w:val="single"/>
              </w:rPr>
            </w:pPr>
            <w:r>
              <w:rPr>
                <w:rFonts w:hint="eastAsia" w:ascii="宋体" w:hAnsi="宋体" w:eastAsia="宋体" w:cs="宋体"/>
                <w:bCs/>
                <w:u w:val="single"/>
              </w:rPr>
              <w:t>以医院年出院人数为基数，测算床位数。</w:t>
            </w:r>
          </w:p>
          <w:p w14:paraId="5C994665">
            <w:pPr>
              <w:ind w:firstLine="480" w:firstLineChars="200"/>
              <w:rPr>
                <w:rFonts w:ascii="宋体" w:hAnsi="宋体" w:eastAsia="宋体" w:cs="宋体"/>
                <w:bCs/>
                <w:u w:val="single"/>
              </w:rPr>
            </w:pPr>
            <w:r>
              <w:rPr>
                <w:rFonts w:hint="eastAsia" w:ascii="宋体" w:hAnsi="宋体" w:eastAsia="宋体" w:cs="宋体"/>
                <w:bCs/>
                <w:u w:val="single"/>
              </w:rPr>
              <w:t>①依据医院历次年度住院效率指标，测算床位数。</w:t>
            </w:r>
          </w:p>
          <w:p w14:paraId="7F2E79E3">
            <w:pPr>
              <w:spacing w:after="156" w:afterLines="50"/>
              <w:ind w:firstLine="480" w:firstLineChars="200"/>
              <w:rPr>
                <w:rFonts w:ascii="宋体" w:hAnsi="宋体" w:eastAsia="宋体" w:cs="宋体"/>
                <w:bCs/>
                <w:u w:val="single"/>
              </w:rPr>
            </w:pPr>
            <w:r>
              <w:rPr>
                <w:rFonts w:hint="eastAsia" w:ascii="宋体" w:hAnsi="宋体" w:eastAsia="宋体" w:cs="宋体"/>
                <w:bCs/>
                <w:u w:val="single"/>
              </w:rPr>
              <w:t>测算公式：新设计床位数=（年出院病人数/年周转次数）x床位利用系数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2669"/>
            </w:tblGrid>
            <w:tr w14:paraId="6786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71" w:type="dxa"/>
                  <w:vAlign w:val="center"/>
                </w:tcPr>
                <w:p w14:paraId="3506FA91">
                  <w:pPr>
                    <w:spacing w:line="240" w:lineRule="auto"/>
                    <w:jc w:val="center"/>
                    <w:rPr>
                      <w:rFonts w:ascii="宋体" w:hAnsi="宋体" w:eastAsia="宋体" w:cs="宋体"/>
                      <w:bCs/>
                      <w:kern w:val="0"/>
                      <w:sz w:val="18"/>
                      <w:szCs w:val="18"/>
                      <w:u w:val="single"/>
                    </w:rPr>
                  </w:pPr>
                  <w:r>
                    <w:rPr>
                      <w:rFonts w:hint="eastAsia" w:ascii="宋体" w:hAnsi="宋体" w:eastAsia="宋体" w:cs="宋体"/>
                      <w:bCs/>
                      <w:kern w:val="0"/>
                      <w:sz w:val="18"/>
                      <w:szCs w:val="18"/>
                      <w:u w:val="single"/>
                    </w:rPr>
                    <w:t>计算步骤</w:t>
                  </w:r>
                </w:p>
              </w:tc>
              <w:tc>
                <w:tcPr>
                  <w:tcW w:w="2669" w:type="dxa"/>
                  <w:vAlign w:val="center"/>
                </w:tcPr>
                <w:p w14:paraId="67C76550">
                  <w:pPr>
                    <w:spacing w:line="240" w:lineRule="auto"/>
                    <w:jc w:val="center"/>
                    <w:rPr>
                      <w:rFonts w:ascii="宋体" w:hAnsi="宋体" w:eastAsia="宋体" w:cs="宋体"/>
                      <w:bCs/>
                      <w:kern w:val="0"/>
                      <w:sz w:val="18"/>
                      <w:szCs w:val="18"/>
                      <w:u w:val="single"/>
                    </w:rPr>
                  </w:pPr>
                  <w:r>
                    <w:rPr>
                      <w:rFonts w:hint="eastAsia" w:ascii="宋体" w:hAnsi="宋体" w:eastAsia="宋体" w:cs="宋体"/>
                      <w:bCs/>
                      <w:kern w:val="0"/>
                      <w:sz w:val="18"/>
                      <w:szCs w:val="18"/>
                      <w:u w:val="single"/>
                    </w:rPr>
                    <w:t>方法</w:t>
                  </w:r>
                </w:p>
              </w:tc>
            </w:tr>
            <w:tr w14:paraId="1CD0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71" w:type="dxa"/>
                  <w:vAlign w:val="center"/>
                </w:tcPr>
                <w:p w14:paraId="3428E044">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1、年出院病人数</w:t>
                  </w:r>
                </w:p>
              </w:tc>
              <w:tc>
                <w:tcPr>
                  <w:tcW w:w="2669" w:type="dxa"/>
                  <w:vAlign w:val="center"/>
                </w:tcPr>
                <w:p w14:paraId="1F3058F0">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=总床位年工作日/平均住院日</w:t>
                  </w:r>
                </w:p>
              </w:tc>
            </w:tr>
            <w:tr w14:paraId="1AF3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71" w:type="dxa"/>
                  <w:vAlign w:val="center"/>
                </w:tcPr>
                <w:p w14:paraId="0B929EB5">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2、年周转次数</w:t>
                  </w:r>
                </w:p>
              </w:tc>
              <w:tc>
                <w:tcPr>
                  <w:tcW w:w="2669" w:type="dxa"/>
                  <w:vAlign w:val="center"/>
                </w:tcPr>
                <w:p w14:paraId="12DF48AB">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=年工作日/平均住院日</w:t>
                  </w:r>
                </w:p>
              </w:tc>
            </w:tr>
            <w:tr w14:paraId="7AE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71" w:type="dxa"/>
                  <w:vAlign w:val="center"/>
                </w:tcPr>
                <w:p w14:paraId="0B0740AE">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3、新设计床位数</w:t>
                  </w:r>
                </w:p>
              </w:tc>
              <w:tc>
                <w:tcPr>
                  <w:tcW w:w="2669" w:type="dxa"/>
                  <w:vAlign w:val="center"/>
                </w:tcPr>
                <w:p w14:paraId="3048FB86">
                  <w:pPr>
                    <w:spacing w:line="240" w:lineRule="auto"/>
                    <w:rPr>
                      <w:rFonts w:ascii="宋体" w:hAnsi="宋体" w:eastAsia="宋体" w:cs="宋体"/>
                      <w:bCs/>
                      <w:kern w:val="0"/>
                      <w:sz w:val="18"/>
                      <w:szCs w:val="18"/>
                      <w:u w:val="single"/>
                    </w:rPr>
                  </w:pPr>
                  <w:r>
                    <w:rPr>
                      <w:rFonts w:hint="eastAsia" w:ascii="宋体" w:hAnsi="宋体" w:eastAsia="宋体" w:cs="宋体"/>
                      <w:bCs/>
                      <w:kern w:val="0"/>
                      <w:sz w:val="18"/>
                      <w:szCs w:val="18"/>
                      <w:u w:val="single"/>
                    </w:rPr>
                    <w:t>=（年出院病人数/年周转次数）x床位利用系数*1</w:t>
                  </w:r>
                </w:p>
              </w:tc>
            </w:tr>
          </w:tbl>
          <w:p w14:paraId="676F1B5A">
            <w:pPr>
              <w:spacing w:line="240" w:lineRule="auto"/>
              <w:ind w:firstLine="360" w:firstLineChars="200"/>
              <w:rPr>
                <w:rFonts w:ascii="宋体" w:hAnsi="宋体" w:eastAsia="宋体" w:cs="宋体"/>
                <w:bCs/>
                <w:sz w:val="18"/>
                <w:szCs w:val="18"/>
                <w:u w:val="single"/>
              </w:rPr>
            </w:pPr>
            <w:r>
              <w:rPr>
                <w:rFonts w:hint="eastAsia" w:ascii="宋体" w:hAnsi="宋体" w:eastAsia="宋体" w:cs="宋体"/>
                <w:bCs/>
                <w:sz w:val="18"/>
                <w:szCs w:val="18"/>
                <w:u w:val="single"/>
              </w:rPr>
              <w:t>*1：床位利用系数（常年床位利用率）合理范围0.8-0.9，超出1，增设床位。</w:t>
            </w:r>
          </w:p>
          <w:p w14:paraId="2C792ED4">
            <w:pPr>
              <w:ind w:firstLine="480" w:firstLineChars="200"/>
              <w:rPr>
                <w:rFonts w:ascii="宋体" w:hAnsi="宋体" w:eastAsia="宋体" w:cs="宋体"/>
                <w:bCs/>
                <w:u w:val="single"/>
              </w:rPr>
            </w:pPr>
            <w:r>
              <w:rPr>
                <w:rFonts w:hint="eastAsia" w:ascii="宋体" w:hAnsi="宋体" w:eastAsia="宋体" w:cs="宋体"/>
                <w:bCs/>
                <w:u w:val="single"/>
              </w:rPr>
              <w:t>②无统计数据医院总床位数按区域卫生规划所测算的服务量和批准床位数设置，分科床位数参照表3.2</w:t>
            </w:r>
            <w:r>
              <w:rPr>
                <w:rFonts w:ascii="宋体" w:hAnsi="宋体" w:eastAsia="宋体" w:cs="宋体"/>
                <w:bCs/>
                <w:u w:val="single"/>
              </w:rPr>
              <w:t>.</w:t>
            </w:r>
            <w:r>
              <w:rPr>
                <w:rFonts w:hint="eastAsia" w:ascii="宋体" w:hAnsi="宋体" w:eastAsia="宋体" w:cs="宋体"/>
                <w:bCs/>
                <w:u w:val="single"/>
              </w:rPr>
              <w:t>1-2测算</w:t>
            </w:r>
            <w:r>
              <w:rPr>
                <w:rFonts w:ascii="宋体" w:hAnsi="宋体" w:eastAsia="宋体" w:cs="宋体"/>
                <w:bCs/>
                <w:u w:val="single"/>
              </w:rPr>
              <w:t>。</w:t>
            </w:r>
          </w:p>
          <w:p w14:paraId="40063A68">
            <w:pPr>
              <w:spacing w:after="156" w:afterLines="50"/>
              <w:ind w:firstLine="480" w:firstLineChars="200"/>
              <w:rPr>
                <w:rFonts w:ascii="宋体" w:hAnsi="宋体" w:eastAsia="宋体" w:cs="宋体"/>
                <w:bCs/>
                <w:u w:val="single"/>
              </w:rPr>
            </w:pPr>
            <w:r>
              <w:rPr>
                <w:rFonts w:hint="eastAsia" w:ascii="宋体" w:hAnsi="宋体" w:eastAsia="宋体" w:cs="宋体"/>
                <w:bCs/>
                <w:u w:val="single"/>
              </w:rPr>
              <w:t>每护理单元40-45床，每护理单元床均综合建筑面积40-50</w:t>
            </w:r>
            <w:r>
              <w:rPr>
                <w:rFonts w:hint="eastAsia" w:cs="宋体" w:asciiTheme="minorEastAsia" w:hAnsiTheme="minorEastAsia"/>
                <w:u w:val="single"/>
              </w:rPr>
              <w:t>m²</w:t>
            </w:r>
            <w:r>
              <w:rPr>
                <w:rFonts w:hint="eastAsia" w:ascii="宋体" w:hAnsi="宋体" w:eastAsia="宋体" w:cs="宋体"/>
                <w:bCs/>
                <w:u w:val="single"/>
              </w:rPr>
              <w:t>/床，应标定每护理单元学科设置和诊疗科目。</w:t>
            </w:r>
          </w:p>
          <w:p w14:paraId="49FB74E2">
            <w:pPr>
              <w:ind w:firstLine="480" w:firstLineChars="200"/>
              <w:rPr>
                <w:rFonts w:ascii="宋体" w:hAnsi="宋体" w:eastAsia="宋体" w:cs="宋体"/>
                <w:bCs/>
                <w:u w:val="single"/>
              </w:rPr>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放射科诊疗量参数</w:t>
            </w:r>
          </w:p>
          <w:p w14:paraId="4EBFD86B">
            <w:pPr>
              <w:ind w:firstLine="480" w:firstLineChars="200"/>
              <w:rPr>
                <w:rFonts w:ascii="宋体" w:hAnsi="宋体" w:eastAsia="宋体" w:cs="宋体"/>
                <w:u w:val="single"/>
              </w:rPr>
            </w:pPr>
            <w:r>
              <w:rPr>
                <w:rFonts w:hint="eastAsia" w:ascii="宋体" w:hAnsi="宋体" w:eastAsia="宋体" w:cs="宋体"/>
                <w:u w:val="single"/>
              </w:rPr>
              <w:t>以放射年检病人数量为基数，测算各种设备机房间数。</w:t>
            </w:r>
          </w:p>
          <w:p w14:paraId="30DE644D">
            <w:pPr>
              <w:ind w:firstLine="480" w:firstLineChars="200"/>
              <w:rPr>
                <w:rFonts w:ascii="宋体" w:hAnsi="宋体" w:eastAsia="宋体" w:cs="宋体"/>
                <w:bCs/>
                <w:u w:val="single"/>
              </w:rPr>
            </w:pPr>
            <w:r>
              <w:rPr>
                <w:rFonts w:hint="eastAsia" w:ascii="宋体" w:hAnsi="宋体" w:eastAsia="宋体" w:cs="宋体"/>
                <w:bCs/>
                <w:u w:val="single"/>
              </w:rPr>
              <w:t>①有统计数据测算方法</w:t>
            </w:r>
          </w:p>
          <w:p w14:paraId="5EBAB93C">
            <w:pPr>
              <w:ind w:firstLine="480" w:firstLineChars="200"/>
              <w:rPr>
                <w:rFonts w:ascii="宋体" w:hAnsi="宋体" w:eastAsia="宋体" w:cs="宋体"/>
                <w:u w:val="single"/>
              </w:rPr>
            </w:pPr>
            <w:r>
              <w:rPr>
                <w:rFonts w:hint="eastAsia" w:ascii="宋体" w:hAnsi="宋体" w:eastAsia="宋体" w:cs="宋体"/>
                <w:u w:val="single"/>
              </w:rPr>
              <w:t>测算公式：新设计设备机房间数=年检例数/（年工作日x设备日均检例数）</w:t>
            </w:r>
          </w:p>
          <w:p w14:paraId="3C6115C7">
            <w:pPr>
              <w:spacing w:after="156" w:afterLines="50"/>
              <w:ind w:firstLine="480" w:firstLineChars="200"/>
              <w:rPr>
                <w:rFonts w:ascii="宋体" w:hAnsi="宋体" w:eastAsia="宋体" w:cs="宋体"/>
                <w:bCs/>
                <w:u w:val="single"/>
              </w:rPr>
            </w:pPr>
            <w:r>
              <w:rPr>
                <w:rFonts w:hint="eastAsia" w:ascii="宋体" w:hAnsi="宋体" w:eastAsia="宋体" w:cs="宋体"/>
                <w:bCs/>
                <w:u w:val="single"/>
              </w:rPr>
              <w:t>②无统计数据测算方法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1"/>
              <w:gridCol w:w="2489"/>
            </w:tblGrid>
            <w:tr w14:paraId="76A9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51" w:type="dxa"/>
                </w:tcPr>
                <w:p w14:paraId="738D4B1B">
                  <w:pPr>
                    <w:spacing w:line="240" w:lineRule="auto"/>
                    <w:jc w:val="center"/>
                    <w:rPr>
                      <w:rFonts w:ascii="宋体" w:hAnsi="宋体" w:eastAsia="宋体" w:cs="宋体"/>
                      <w:bCs/>
                      <w:kern w:val="0"/>
                      <w:sz w:val="18"/>
                      <w:szCs w:val="18"/>
                      <w:u w:val="single"/>
                    </w:rPr>
                  </w:pPr>
                  <w:r>
                    <w:rPr>
                      <w:rFonts w:hint="eastAsia" w:ascii="宋体" w:hAnsi="宋体" w:eastAsia="宋体" w:cs="宋体"/>
                      <w:bCs/>
                      <w:kern w:val="0"/>
                      <w:sz w:val="18"/>
                      <w:szCs w:val="18"/>
                      <w:u w:val="single"/>
                    </w:rPr>
                    <w:t>计算步骤</w:t>
                  </w:r>
                </w:p>
              </w:tc>
              <w:tc>
                <w:tcPr>
                  <w:tcW w:w="2489" w:type="dxa"/>
                </w:tcPr>
                <w:p w14:paraId="0E874685">
                  <w:pPr>
                    <w:spacing w:line="240" w:lineRule="auto"/>
                    <w:jc w:val="center"/>
                    <w:rPr>
                      <w:rFonts w:ascii="宋体" w:hAnsi="宋体" w:eastAsia="宋体" w:cs="宋体"/>
                      <w:bCs/>
                      <w:kern w:val="0"/>
                      <w:sz w:val="18"/>
                      <w:szCs w:val="18"/>
                      <w:u w:val="single"/>
                    </w:rPr>
                  </w:pPr>
                  <w:r>
                    <w:rPr>
                      <w:rFonts w:hint="eastAsia" w:ascii="宋体" w:hAnsi="宋体" w:eastAsia="宋体" w:cs="宋体"/>
                      <w:bCs/>
                      <w:kern w:val="0"/>
                      <w:sz w:val="18"/>
                      <w:szCs w:val="18"/>
                      <w:u w:val="single"/>
                    </w:rPr>
                    <w:t>方法</w:t>
                  </w:r>
                </w:p>
              </w:tc>
            </w:tr>
            <w:tr w14:paraId="0B76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51" w:type="dxa"/>
                </w:tcPr>
                <w:p w14:paraId="4E2EB7A9">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1、放射日检病人量</w:t>
                  </w:r>
                </w:p>
              </w:tc>
              <w:tc>
                <w:tcPr>
                  <w:tcW w:w="2489" w:type="dxa"/>
                </w:tcPr>
                <w:p w14:paraId="7148A888">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=（床位数+日门诊量）x放射日检病人基数占比</w:t>
                  </w:r>
                </w:p>
              </w:tc>
            </w:tr>
            <w:tr w14:paraId="14E5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51" w:type="dxa"/>
                </w:tcPr>
                <w:p w14:paraId="55F297B2">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2、分项日检病人量</w:t>
                  </w:r>
                </w:p>
              </w:tc>
              <w:tc>
                <w:tcPr>
                  <w:tcW w:w="2489" w:type="dxa"/>
                </w:tcPr>
                <w:p w14:paraId="56B26553">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=放射日检病人量x分项占比</w:t>
                  </w:r>
                </w:p>
              </w:tc>
            </w:tr>
            <w:tr w14:paraId="07D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51" w:type="dxa"/>
                </w:tcPr>
                <w:p w14:paraId="56257095">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3、机房间数</w:t>
                  </w:r>
                </w:p>
              </w:tc>
              <w:tc>
                <w:tcPr>
                  <w:tcW w:w="2489" w:type="dxa"/>
                </w:tcPr>
                <w:p w14:paraId="755CE575">
                  <w:pPr>
                    <w:spacing w:line="240" w:lineRule="auto"/>
                    <w:rPr>
                      <w:rFonts w:ascii="宋体" w:hAnsi="宋体" w:eastAsia="宋体" w:cs="宋体"/>
                      <w:kern w:val="0"/>
                      <w:sz w:val="18"/>
                      <w:szCs w:val="18"/>
                      <w:u w:val="single"/>
                    </w:rPr>
                  </w:pPr>
                  <w:r>
                    <w:rPr>
                      <w:rFonts w:hint="eastAsia" w:ascii="宋体" w:hAnsi="宋体" w:eastAsia="宋体" w:cs="宋体"/>
                      <w:kern w:val="0"/>
                      <w:sz w:val="18"/>
                      <w:szCs w:val="18"/>
                      <w:u w:val="single"/>
                    </w:rPr>
                    <w:t>=分项日检病人量/单机日检定额</w:t>
                  </w:r>
                </w:p>
              </w:tc>
            </w:tr>
          </w:tbl>
          <w:p w14:paraId="132849D0">
            <w:pPr>
              <w:spacing w:before="156" w:beforeLines="50"/>
              <w:ind w:firstLine="480" w:firstLineChars="200"/>
              <w:rPr>
                <w:rFonts w:ascii="宋体" w:hAnsi="宋体" w:eastAsia="宋体" w:cs="宋体"/>
                <w:bCs/>
                <w:u w:val="single"/>
              </w:rPr>
            </w:pPr>
            <w:r>
              <w:rPr>
                <w:rFonts w:hint="eastAsia" w:ascii="宋体" w:hAnsi="宋体" w:eastAsia="宋体" w:cs="宋体"/>
                <w:bCs/>
                <w:u w:val="single"/>
              </w:rPr>
              <w:t>放射日检病人量以核定日门诊人次及床位数之和为基数，参考值为（日门诊人次+床位数）x14%。</w:t>
            </w:r>
          </w:p>
          <w:p w14:paraId="0BA46577">
            <w:pPr>
              <w:spacing w:after="156" w:afterLines="50"/>
              <w:ind w:firstLine="480" w:firstLineChars="200"/>
              <w:rPr>
                <w:rFonts w:ascii="宋体" w:hAnsi="宋体" w:eastAsia="宋体" w:cs="宋体"/>
                <w:bCs/>
                <w:u w:val="single"/>
              </w:rPr>
            </w:pPr>
            <w:r>
              <w:rPr>
                <w:rFonts w:hint="eastAsia" w:ascii="宋体" w:hAnsi="宋体" w:eastAsia="宋体" w:cs="宋体"/>
                <w:bCs/>
                <w:u w:val="single"/>
              </w:rPr>
              <w:t>放射日检病人基数占比、分项占比参见条文说明表3.2.1条中附表3.2.1-2。</w:t>
            </w:r>
          </w:p>
          <w:p w14:paraId="3CD542D9">
            <w:pPr>
              <w:spacing w:before="156" w:beforeLines="50"/>
              <w:ind w:firstLine="480" w:firstLineChars="200"/>
              <w:rPr>
                <w:rFonts w:ascii="宋体" w:hAnsi="宋体" w:eastAsia="宋体" w:cs="宋体"/>
                <w:bCs/>
                <w:u w:val="single"/>
              </w:rPr>
            </w:pPr>
            <w:r>
              <w:rPr>
                <w:rFonts w:hint="eastAsia" w:ascii="宋体" w:hAnsi="宋体" w:eastAsia="宋体" w:cs="宋体"/>
                <w:bCs/>
                <w:u w:val="single"/>
              </w:rPr>
              <w:t>4</w:t>
            </w:r>
            <w:r>
              <w:rPr>
                <w:rFonts w:ascii="宋体" w:hAnsi="宋体" w:eastAsia="宋体" w:cs="宋体"/>
                <w:bCs/>
                <w:u w:val="single"/>
              </w:rPr>
              <w:t xml:space="preserve"> </w:t>
            </w:r>
            <w:r>
              <w:rPr>
                <w:rFonts w:hint="eastAsia" w:ascii="宋体" w:hAnsi="宋体" w:eastAsia="宋体" w:cs="宋体"/>
                <w:bCs/>
                <w:u w:val="single"/>
              </w:rPr>
              <w:t>超声科诊疗量参数</w:t>
            </w:r>
          </w:p>
          <w:p w14:paraId="5C7256A6">
            <w:pPr>
              <w:ind w:firstLine="480" w:firstLineChars="200"/>
              <w:rPr>
                <w:rFonts w:ascii="宋体" w:hAnsi="宋体" w:eastAsia="宋体" w:cs="宋体"/>
                <w:bCs/>
                <w:u w:val="single"/>
              </w:rPr>
            </w:pPr>
            <w:r>
              <w:rPr>
                <w:rFonts w:hint="eastAsia" w:ascii="宋体" w:hAnsi="宋体" w:eastAsia="宋体" w:cs="宋体"/>
                <w:bCs/>
                <w:u w:val="single"/>
              </w:rPr>
              <w:t>①有统计数据测算方法</w:t>
            </w:r>
          </w:p>
          <w:p w14:paraId="2972F3A6">
            <w:pPr>
              <w:ind w:firstLine="480" w:firstLineChars="200"/>
              <w:rPr>
                <w:rFonts w:ascii="宋体" w:hAnsi="宋体" w:eastAsia="宋体" w:cs="宋体"/>
                <w:bCs/>
                <w:u w:val="single"/>
              </w:rPr>
            </w:pPr>
            <w:r>
              <w:rPr>
                <w:rFonts w:hint="eastAsia" w:ascii="宋体" w:hAnsi="宋体" w:eastAsia="宋体" w:cs="宋体"/>
                <w:bCs/>
                <w:u w:val="single"/>
              </w:rPr>
              <w:t>测算公式：新设计超声室间数=年超声检查例数/（年工作日x统计单机日检例数）</w:t>
            </w:r>
          </w:p>
          <w:p w14:paraId="39F9FCE0">
            <w:pPr>
              <w:ind w:firstLine="480" w:firstLineChars="200"/>
              <w:rPr>
                <w:rFonts w:ascii="宋体" w:hAnsi="宋体" w:eastAsia="宋体" w:cs="宋体"/>
                <w:bCs/>
                <w:u w:val="single"/>
              </w:rPr>
            </w:pPr>
            <w:r>
              <w:rPr>
                <w:rFonts w:hint="eastAsia" w:ascii="宋体" w:hAnsi="宋体" w:eastAsia="宋体" w:cs="宋体"/>
                <w:bCs/>
                <w:u w:val="single"/>
              </w:rPr>
              <w:t>②无统计数据测算方法</w:t>
            </w:r>
          </w:p>
          <w:p w14:paraId="4666E17C">
            <w:pPr>
              <w:ind w:firstLine="480" w:firstLineChars="200"/>
              <w:rPr>
                <w:rFonts w:ascii="宋体" w:hAnsi="宋体" w:eastAsia="宋体" w:cs="宋体"/>
                <w:bCs/>
                <w:u w:val="single"/>
              </w:rPr>
            </w:pPr>
            <w:r>
              <w:rPr>
                <w:rFonts w:hint="eastAsia" w:ascii="宋体" w:hAnsi="宋体" w:eastAsia="宋体" w:cs="宋体"/>
                <w:bCs/>
                <w:u w:val="single"/>
              </w:rPr>
              <w:t>测算公式：新设计超声室间数=（日门诊量+床位数）x23%/单机日检人数</w:t>
            </w:r>
          </w:p>
          <w:p w14:paraId="73E53027">
            <w:pPr>
              <w:ind w:firstLine="480" w:firstLineChars="200"/>
              <w:rPr>
                <w:rFonts w:ascii="宋体" w:hAnsi="宋体" w:eastAsia="宋体" w:cs="宋体"/>
                <w:bCs/>
                <w:u w:val="single"/>
              </w:rPr>
            </w:pPr>
            <w:r>
              <w:rPr>
                <w:rFonts w:hint="eastAsia" w:ascii="宋体" w:hAnsi="宋体" w:eastAsia="宋体" w:cs="宋体"/>
                <w:bCs/>
                <w:u w:val="single"/>
              </w:rPr>
              <w:t>超声日检病人量为日门诊量与床位数之和乘以23%。</w:t>
            </w:r>
          </w:p>
          <w:p w14:paraId="3A754DC4">
            <w:pPr>
              <w:ind w:firstLine="480" w:firstLineChars="200"/>
              <w:rPr>
                <w:rFonts w:ascii="宋体" w:hAnsi="宋体" w:eastAsia="宋体" w:cs="宋体"/>
                <w:bCs/>
                <w:u w:val="single"/>
              </w:rPr>
            </w:pPr>
            <w:r>
              <w:rPr>
                <w:rFonts w:hint="eastAsia" w:ascii="宋体" w:hAnsi="宋体" w:eastAsia="宋体" w:cs="宋体"/>
                <w:bCs/>
                <w:u w:val="single"/>
              </w:rPr>
              <w:t>超声单机日工作定额按50例/日/台计算。</w:t>
            </w:r>
          </w:p>
          <w:p w14:paraId="41352CF3">
            <w:pPr>
              <w:ind w:firstLine="480" w:firstLineChars="200"/>
              <w:rPr>
                <w:rFonts w:ascii="宋体" w:hAnsi="宋体" w:eastAsia="宋体" w:cs="宋体"/>
                <w:bCs/>
                <w:u w:val="single"/>
              </w:rPr>
            </w:pPr>
            <w:r>
              <w:rPr>
                <w:rFonts w:hint="eastAsia" w:ascii="宋体" w:hAnsi="宋体" w:eastAsia="宋体" w:cs="宋体"/>
                <w:bCs/>
                <w:u w:val="single"/>
              </w:rPr>
              <w:t>5 核医学科诊疗量参数</w:t>
            </w:r>
          </w:p>
          <w:p w14:paraId="300A2A77">
            <w:pPr>
              <w:ind w:firstLine="480" w:firstLineChars="200"/>
              <w:rPr>
                <w:rFonts w:ascii="宋体" w:hAnsi="宋体" w:eastAsia="宋体" w:cs="宋体"/>
                <w:bCs/>
                <w:u w:val="single"/>
              </w:rPr>
            </w:pPr>
            <w:r>
              <w:rPr>
                <w:rFonts w:hint="eastAsia" w:ascii="宋体" w:hAnsi="宋体" w:eastAsia="宋体" w:cs="宋体"/>
                <w:bCs/>
                <w:u w:val="single"/>
              </w:rPr>
              <w:t>核医学科日诊疗量（人次）=（日门诊量+床位数）x2～4%</w:t>
            </w:r>
          </w:p>
          <w:p w14:paraId="110BD5F3">
            <w:pPr>
              <w:ind w:firstLine="480" w:firstLineChars="200"/>
              <w:rPr>
                <w:rFonts w:ascii="宋体" w:hAnsi="宋体" w:eastAsia="宋体" w:cs="宋体"/>
                <w:bCs/>
                <w:u w:val="single"/>
              </w:rPr>
            </w:pPr>
            <w:r>
              <w:rPr>
                <w:rFonts w:hint="eastAsia" w:ascii="宋体" w:hAnsi="宋体" w:eastAsia="宋体" w:cs="宋体"/>
                <w:bCs/>
                <w:u w:val="single"/>
              </w:rPr>
              <w:t>设备机房间数=设备年检例数/（年工作日x设备日均检例数）</w:t>
            </w:r>
          </w:p>
          <w:p w14:paraId="0E1B8008">
            <w:pPr>
              <w:ind w:firstLine="480" w:firstLineChars="200"/>
              <w:rPr>
                <w:rFonts w:ascii="宋体" w:hAnsi="宋体" w:eastAsia="宋体" w:cs="宋体"/>
                <w:bCs/>
                <w:u w:val="single"/>
              </w:rPr>
            </w:pPr>
            <w:r>
              <w:rPr>
                <w:rFonts w:hint="eastAsia" w:ascii="宋体" w:hAnsi="宋体" w:eastAsia="宋体" w:cs="宋体"/>
                <w:bCs/>
                <w:u w:val="single"/>
              </w:rPr>
              <w:t>6</w:t>
            </w:r>
            <w:r>
              <w:rPr>
                <w:rFonts w:ascii="宋体" w:hAnsi="宋体" w:eastAsia="宋体" w:cs="宋体"/>
                <w:bCs/>
                <w:u w:val="single"/>
              </w:rPr>
              <w:t xml:space="preserve"> </w:t>
            </w:r>
            <w:r>
              <w:rPr>
                <w:rFonts w:hint="eastAsia" w:ascii="宋体" w:hAnsi="宋体" w:eastAsia="宋体" w:cs="宋体"/>
                <w:bCs/>
                <w:u w:val="single"/>
              </w:rPr>
              <w:t>检验科诊疗量参数</w:t>
            </w:r>
          </w:p>
          <w:p w14:paraId="500B6196">
            <w:pPr>
              <w:ind w:firstLine="480" w:firstLineChars="200"/>
              <w:rPr>
                <w:rFonts w:ascii="宋体" w:hAnsi="宋体" w:eastAsia="宋体" w:cs="宋体"/>
                <w:bCs/>
                <w:u w:val="single"/>
              </w:rPr>
            </w:pPr>
            <w:r>
              <w:rPr>
                <w:rFonts w:hint="eastAsia" w:ascii="宋体" w:hAnsi="宋体" w:eastAsia="宋体" w:cs="宋体"/>
                <w:bCs/>
                <w:u w:val="single"/>
              </w:rPr>
              <w:t>检验科日检验标本量（份）=（日门诊量+床位数）x20%x4</w:t>
            </w:r>
          </w:p>
          <w:p w14:paraId="5FAB978C">
            <w:pPr>
              <w:ind w:firstLine="480" w:firstLineChars="200"/>
              <w:rPr>
                <w:rFonts w:ascii="宋体" w:hAnsi="宋体" w:eastAsia="宋体" w:cs="宋体"/>
                <w:bCs/>
                <w:u w:val="single"/>
              </w:rPr>
            </w:pPr>
            <w:r>
              <w:rPr>
                <w:rFonts w:hint="eastAsia" w:ascii="宋体" w:hAnsi="宋体" w:eastAsia="宋体" w:cs="宋体"/>
                <w:bCs/>
                <w:u w:val="single"/>
              </w:rPr>
              <w:t>检验科综合建筑面积（m²）=0.8～1x床位数+（n-1）x100</w:t>
            </w:r>
          </w:p>
          <w:p w14:paraId="54E1D0D1">
            <w:pPr>
              <w:ind w:firstLine="480" w:firstLineChars="200"/>
              <w:rPr>
                <w:rFonts w:ascii="宋体" w:hAnsi="宋体" w:eastAsia="宋体" w:cs="宋体"/>
                <w:bCs/>
                <w:u w:val="single"/>
              </w:rPr>
            </w:pPr>
            <w:r>
              <w:rPr>
                <w:rFonts w:hint="eastAsia" w:ascii="宋体" w:hAnsi="宋体" w:eastAsia="宋体" w:cs="宋体"/>
                <w:bCs/>
                <w:u w:val="single"/>
              </w:rPr>
              <w:t>n为检验科临检、生化、免疫等专业组数。</w:t>
            </w:r>
          </w:p>
          <w:p w14:paraId="7614BE89">
            <w:pPr>
              <w:ind w:firstLine="480" w:firstLineChars="200"/>
              <w:rPr>
                <w:rFonts w:ascii="宋体" w:hAnsi="宋体" w:eastAsia="宋体" w:cs="宋体"/>
                <w:bCs/>
                <w:u w:val="single"/>
              </w:rPr>
            </w:pPr>
            <w:r>
              <w:rPr>
                <w:rFonts w:hint="eastAsia" w:ascii="宋体" w:hAnsi="宋体" w:eastAsia="宋体" w:cs="宋体"/>
                <w:bCs/>
                <w:u w:val="single"/>
              </w:rPr>
              <w:t>7 病理科诊疗量参数</w:t>
            </w:r>
          </w:p>
          <w:p w14:paraId="14DE7B18">
            <w:pPr>
              <w:ind w:firstLine="480" w:firstLineChars="200"/>
              <w:rPr>
                <w:rFonts w:ascii="宋体" w:hAnsi="宋体" w:eastAsia="宋体" w:cs="宋体"/>
                <w:bCs/>
                <w:u w:val="single"/>
              </w:rPr>
            </w:pPr>
            <w:r>
              <w:rPr>
                <w:rFonts w:hint="eastAsia" w:ascii="宋体" w:hAnsi="宋体" w:eastAsia="宋体" w:cs="宋体"/>
                <w:bCs/>
                <w:u w:val="single"/>
              </w:rPr>
              <w:t>病理科日标本（细胞、组织）量40-60例（份）</w:t>
            </w:r>
          </w:p>
          <w:p w14:paraId="3624FBCB">
            <w:pPr>
              <w:ind w:firstLine="480" w:firstLineChars="200"/>
              <w:rPr>
                <w:rFonts w:ascii="宋体" w:hAnsi="宋体" w:eastAsia="宋体" w:cs="宋体"/>
                <w:bCs/>
                <w:u w:val="single"/>
              </w:rPr>
            </w:pPr>
            <w:r>
              <w:rPr>
                <w:rFonts w:hint="eastAsia" w:ascii="宋体" w:hAnsi="宋体" w:eastAsia="宋体" w:cs="宋体"/>
                <w:bCs/>
                <w:u w:val="single"/>
              </w:rPr>
              <w:t>病理科综合建筑面积=0.4～0.6m²/床x床位数+（n-1）x120</w:t>
            </w:r>
          </w:p>
          <w:p w14:paraId="43DC7DCD">
            <w:pPr>
              <w:ind w:firstLine="480" w:firstLineChars="200"/>
            </w:pPr>
            <w:r>
              <w:rPr>
                <w:rFonts w:hint="eastAsia" w:ascii="宋体" w:hAnsi="宋体" w:eastAsia="宋体" w:cs="宋体"/>
                <w:bCs/>
                <w:u w:val="single"/>
              </w:rPr>
              <w:t>n为病理科细胞、组织、免疫组化等专业组数。</w:t>
            </w:r>
          </w:p>
        </w:tc>
      </w:tr>
      <w:tr w14:paraId="59CA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5BDB533">
            <w:pPr>
              <w:rPr>
                <w:rFonts w:ascii="宋体" w:hAnsi="宋体" w:eastAsia="宋体"/>
                <w:bCs/>
                <w:bdr w:val="single" w:color="000000" w:sz="4" w:space="0"/>
              </w:rPr>
            </w:pPr>
            <w:r>
              <w:rPr>
                <w:rFonts w:hint="eastAsia" w:ascii="宋体" w:hAnsi="宋体" w:eastAsia="宋体"/>
                <w:bCs/>
                <w:bdr w:val="single" w:color="000000" w:sz="4" w:space="0"/>
              </w:rPr>
              <w:t>3.2.3 各科住院床位数应根据医院统计数据确定，当无统计数据时可按表3.2.3确定。</w:t>
            </w:r>
          </w:p>
          <w:p w14:paraId="19DD3B79">
            <w:pPr>
              <w:jc w:val="center"/>
              <w:rPr>
                <w:rFonts w:ascii="宋体" w:hAnsi="宋体" w:eastAsia="宋体"/>
                <w:b/>
                <w:bCs/>
                <w:sz w:val="18"/>
                <w:szCs w:val="18"/>
                <w:bdr w:val="single" w:color="000000" w:sz="4" w:space="0"/>
              </w:rPr>
            </w:pPr>
            <w:r>
              <w:rPr>
                <w:rFonts w:hint="eastAsia" w:ascii="宋体" w:hAnsi="宋体" w:eastAsia="宋体"/>
                <w:b/>
                <w:bCs/>
                <w:sz w:val="18"/>
                <w:szCs w:val="18"/>
                <w:bdr w:val="single" w:color="000000" w:sz="4" w:space="0"/>
              </w:rPr>
              <w:t>表3.2.3</w:t>
            </w:r>
            <w:r>
              <w:rPr>
                <w:rFonts w:ascii="宋体" w:hAnsi="宋体" w:eastAsia="宋体"/>
                <w:b/>
                <w:bCs/>
                <w:sz w:val="18"/>
                <w:szCs w:val="18"/>
                <w:bdr w:val="single" w:color="000000" w:sz="4" w:space="0"/>
              </w:rPr>
              <w:t xml:space="preserve"> </w:t>
            </w:r>
            <w:r>
              <w:rPr>
                <w:rFonts w:hint="eastAsia" w:ascii="宋体" w:hAnsi="宋体" w:eastAsia="宋体"/>
                <w:b/>
                <w:bCs/>
                <w:sz w:val="18"/>
                <w:szCs w:val="18"/>
                <w:bdr w:val="single" w:color="000000" w:sz="4" w:space="0"/>
              </w:rPr>
              <w:t>各科住院床位数占医院总床位数比例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780"/>
            </w:tblGrid>
            <w:tr w14:paraId="27FA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573F518B">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科别</w:t>
                  </w:r>
                </w:p>
              </w:tc>
              <w:tc>
                <w:tcPr>
                  <w:tcW w:w="2780" w:type="dxa"/>
                  <w:vAlign w:val="center"/>
                </w:tcPr>
                <w:p w14:paraId="3328315D">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占医院总床位比率（%）</w:t>
                  </w:r>
                </w:p>
              </w:tc>
            </w:tr>
            <w:tr w14:paraId="4989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54881D40">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内科</w:t>
                  </w:r>
                </w:p>
              </w:tc>
              <w:tc>
                <w:tcPr>
                  <w:tcW w:w="2780" w:type="dxa"/>
                  <w:vAlign w:val="center"/>
                </w:tcPr>
                <w:p w14:paraId="04D70FE6">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30</w:t>
                  </w:r>
                </w:p>
              </w:tc>
            </w:tr>
            <w:tr w14:paraId="11A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3D75421E">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外科</w:t>
                  </w:r>
                </w:p>
              </w:tc>
              <w:tc>
                <w:tcPr>
                  <w:tcW w:w="2780" w:type="dxa"/>
                  <w:vAlign w:val="center"/>
                </w:tcPr>
                <w:p w14:paraId="5676410E">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25</w:t>
                  </w:r>
                </w:p>
              </w:tc>
            </w:tr>
            <w:tr w14:paraId="2411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56EA6E12">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妇科</w:t>
                  </w:r>
                </w:p>
              </w:tc>
              <w:tc>
                <w:tcPr>
                  <w:tcW w:w="2780" w:type="dxa"/>
                  <w:vAlign w:val="center"/>
                </w:tcPr>
                <w:p w14:paraId="7A8D916F">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8</w:t>
                  </w:r>
                </w:p>
              </w:tc>
            </w:tr>
            <w:tr w14:paraId="5480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48D9AC22">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产科</w:t>
                  </w:r>
                </w:p>
              </w:tc>
              <w:tc>
                <w:tcPr>
                  <w:tcW w:w="2780" w:type="dxa"/>
                  <w:vAlign w:val="center"/>
                </w:tcPr>
                <w:p w14:paraId="61AD681F">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6</w:t>
                  </w:r>
                </w:p>
              </w:tc>
            </w:tr>
            <w:tr w14:paraId="03FC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58A1BD34">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儿科</w:t>
                  </w:r>
                </w:p>
              </w:tc>
              <w:tc>
                <w:tcPr>
                  <w:tcW w:w="2780" w:type="dxa"/>
                  <w:vAlign w:val="center"/>
                </w:tcPr>
                <w:p w14:paraId="4FE44A22">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6</w:t>
                  </w:r>
                </w:p>
              </w:tc>
            </w:tr>
            <w:tr w14:paraId="13B5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15C9C8F3">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耳鼻喉科</w:t>
                  </w:r>
                </w:p>
              </w:tc>
              <w:tc>
                <w:tcPr>
                  <w:tcW w:w="2780" w:type="dxa"/>
                  <w:vAlign w:val="center"/>
                </w:tcPr>
                <w:p w14:paraId="792ECE84">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6</w:t>
                  </w:r>
                </w:p>
              </w:tc>
            </w:tr>
            <w:tr w14:paraId="077D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39BAB3B1">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眼科</w:t>
                  </w:r>
                </w:p>
              </w:tc>
              <w:tc>
                <w:tcPr>
                  <w:tcW w:w="2780" w:type="dxa"/>
                  <w:vAlign w:val="center"/>
                </w:tcPr>
                <w:p w14:paraId="4A8C67F7">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6</w:t>
                  </w:r>
                </w:p>
              </w:tc>
            </w:tr>
            <w:tr w14:paraId="19DD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6B19A8EF">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中医</w:t>
                  </w:r>
                </w:p>
              </w:tc>
              <w:tc>
                <w:tcPr>
                  <w:tcW w:w="2780" w:type="dxa"/>
                  <w:vAlign w:val="center"/>
                </w:tcPr>
                <w:p w14:paraId="5272D188">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6</w:t>
                  </w:r>
                </w:p>
              </w:tc>
            </w:tr>
            <w:tr w14:paraId="5E41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57F5A12C">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其他</w:t>
                  </w:r>
                </w:p>
              </w:tc>
              <w:tc>
                <w:tcPr>
                  <w:tcW w:w="2780" w:type="dxa"/>
                  <w:vAlign w:val="center"/>
                </w:tcPr>
                <w:p w14:paraId="0535065B">
                  <w:pPr>
                    <w:spacing w:line="240" w:lineRule="auto"/>
                    <w:jc w:val="center"/>
                    <w:rPr>
                      <w:rFonts w:ascii="宋体" w:hAnsi="宋体" w:eastAsia="宋体"/>
                      <w:bCs/>
                      <w:sz w:val="18"/>
                      <w:szCs w:val="18"/>
                      <w:bdr w:val="single" w:color="000000" w:sz="4" w:space="0"/>
                    </w:rPr>
                  </w:pPr>
                  <w:r>
                    <w:rPr>
                      <w:rFonts w:hint="eastAsia" w:ascii="宋体" w:hAnsi="宋体" w:eastAsia="宋体"/>
                      <w:bCs/>
                      <w:sz w:val="18"/>
                      <w:szCs w:val="18"/>
                      <w:bdr w:val="single" w:color="000000" w:sz="4" w:space="0"/>
                    </w:rPr>
                    <w:t>7</w:t>
                  </w:r>
                </w:p>
              </w:tc>
            </w:tr>
          </w:tbl>
          <w:p w14:paraId="1180B937"/>
        </w:tc>
        <w:tc>
          <w:tcPr>
            <w:tcW w:w="4261" w:type="dxa"/>
          </w:tcPr>
          <w:p w14:paraId="124E1D65">
            <w:r>
              <w:rPr>
                <w:rFonts w:hint="eastAsia" w:ascii="宋体" w:hAnsi="宋体" w:eastAsia="宋体"/>
              </w:rPr>
              <w:t>此条</w:t>
            </w:r>
            <w:r>
              <w:rPr>
                <w:rFonts w:ascii="宋体" w:hAnsi="宋体" w:eastAsia="宋体"/>
              </w:rPr>
              <w:t>删除。</w:t>
            </w:r>
          </w:p>
        </w:tc>
      </w:tr>
      <w:tr w14:paraId="5423D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F1C7B59">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4.选址与总平面</w:t>
            </w:r>
          </w:p>
        </w:tc>
        <w:tc>
          <w:tcPr>
            <w:tcW w:w="4261" w:type="dxa"/>
          </w:tcPr>
          <w:p w14:paraId="62B4FB91">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4.选址与总平面</w:t>
            </w:r>
          </w:p>
        </w:tc>
      </w:tr>
      <w:tr w14:paraId="67680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EAE06FB">
            <w:pPr>
              <w:jc w:val="center"/>
              <w:rPr>
                <w:rFonts w:asciiTheme="minorEastAsia" w:hAnsiTheme="minorEastAsia"/>
              </w:rPr>
            </w:pPr>
            <w:bookmarkStart w:id="3" w:name="_Toc85880718"/>
            <w:r>
              <w:rPr>
                <w:rFonts w:hint="eastAsia" w:asciiTheme="minorEastAsia" w:hAnsiTheme="minorEastAsia"/>
              </w:rPr>
              <w:t>4.1 选 址</w:t>
            </w:r>
            <w:bookmarkEnd w:id="3"/>
          </w:p>
        </w:tc>
        <w:tc>
          <w:tcPr>
            <w:tcW w:w="4261" w:type="dxa"/>
          </w:tcPr>
          <w:p w14:paraId="754EB44E">
            <w:pPr>
              <w:jc w:val="center"/>
              <w:rPr>
                <w:rFonts w:asciiTheme="minorEastAsia" w:hAnsiTheme="minorEastAsia"/>
              </w:rPr>
            </w:pPr>
            <w:r>
              <w:rPr>
                <w:rFonts w:hint="eastAsia" w:asciiTheme="minorEastAsia" w:hAnsiTheme="minorEastAsia"/>
              </w:rPr>
              <w:t>4.1 选 址</w:t>
            </w:r>
          </w:p>
        </w:tc>
      </w:tr>
      <w:tr w14:paraId="0EFB0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53C63DE">
            <w:r>
              <w:rPr>
                <w:rFonts w:hint="eastAsia" w:cs="黑体" w:asciiTheme="minorEastAsia" w:hAnsiTheme="minorEastAsia"/>
              </w:rPr>
              <w:t>4.1.1 综合医院选址应符合当地城镇规划、区域卫生规划和环保评估的要求。</w:t>
            </w:r>
          </w:p>
        </w:tc>
        <w:tc>
          <w:tcPr>
            <w:tcW w:w="4261" w:type="dxa"/>
          </w:tcPr>
          <w:p w14:paraId="68D00274">
            <w:r>
              <w:rPr>
                <w:rFonts w:hint="eastAsia" w:cs="黑体" w:asciiTheme="minorEastAsia" w:hAnsiTheme="minorEastAsia"/>
              </w:rPr>
              <w:t>4.1.1 综合医院选址应符合当地城镇规划、区域卫生规划</w:t>
            </w:r>
            <w:r>
              <w:rPr>
                <w:rFonts w:hint="eastAsia" w:cs="黑体" w:asciiTheme="minorEastAsia" w:hAnsiTheme="minorEastAsia"/>
                <w:u w:val="single"/>
              </w:rPr>
              <w:t>、综合</w:t>
            </w:r>
            <w:r>
              <w:rPr>
                <w:rFonts w:cs="黑体" w:asciiTheme="minorEastAsia" w:hAnsiTheme="minorEastAsia"/>
                <w:u w:val="single"/>
              </w:rPr>
              <w:t>防灾减灾</w:t>
            </w:r>
            <w:r>
              <w:rPr>
                <w:rFonts w:hint="eastAsia" w:cs="黑体" w:asciiTheme="minorEastAsia" w:hAnsiTheme="minorEastAsia"/>
                <w:u w:val="single"/>
              </w:rPr>
              <w:t>规划</w:t>
            </w:r>
            <w:r>
              <w:rPr>
                <w:rFonts w:hint="eastAsia" w:cs="黑体" w:asciiTheme="minorEastAsia" w:hAnsiTheme="minorEastAsia"/>
              </w:rPr>
              <w:t>和环保评估的要求。</w:t>
            </w:r>
          </w:p>
        </w:tc>
      </w:tr>
      <w:tr w14:paraId="6BD6D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CDC00C8">
            <w:pPr>
              <w:rPr>
                <w:rFonts w:ascii="宋体" w:hAnsi="宋体" w:eastAsia="宋体" w:cs="黑体"/>
              </w:rPr>
            </w:pPr>
            <w:r>
              <w:rPr>
                <w:rFonts w:hint="eastAsia" w:ascii="宋体" w:hAnsi="宋体" w:eastAsia="宋体" w:cs="黑体"/>
              </w:rPr>
              <w:t>4.1.2 基地选择应符合下列要求：</w:t>
            </w:r>
          </w:p>
          <w:p w14:paraId="5F16D318">
            <w:pPr>
              <w:ind w:firstLine="480" w:firstLineChars="200"/>
              <w:rPr>
                <w:rFonts w:ascii="宋体" w:hAnsi="宋体" w:eastAsia="宋体" w:cs="黑体"/>
              </w:rPr>
            </w:pPr>
            <w:r>
              <w:rPr>
                <w:rFonts w:hint="eastAsia" w:ascii="宋体" w:hAnsi="宋体" w:eastAsia="宋体" w:cs="黑体"/>
              </w:rPr>
              <w:t>1</w:t>
            </w:r>
            <w:r>
              <w:rPr>
                <w:rFonts w:ascii="宋体" w:hAnsi="宋体" w:eastAsia="宋体" w:cs="黑体"/>
              </w:rPr>
              <w:t xml:space="preserve"> </w:t>
            </w:r>
            <w:r>
              <w:rPr>
                <w:rFonts w:hint="eastAsia" w:ascii="宋体" w:hAnsi="宋体" w:eastAsia="宋体" w:cs="黑体"/>
              </w:rPr>
              <w:t>交通方便，宜面临2条城市道路；</w:t>
            </w:r>
          </w:p>
          <w:p w14:paraId="09AD22C7">
            <w:pPr>
              <w:ind w:firstLine="480" w:firstLineChars="200"/>
              <w:rPr>
                <w:rFonts w:ascii="宋体" w:hAnsi="宋体" w:eastAsia="宋体" w:cs="黑体"/>
              </w:rPr>
            </w:pPr>
            <w:r>
              <w:rPr>
                <w:rFonts w:hint="eastAsia" w:ascii="宋体" w:hAnsi="宋体" w:eastAsia="宋体" w:cs="黑体"/>
              </w:rPr>
              <w:t>2</w:t>
            </w:r>
            <w:r>
              <w:rPr>
                <w:rFonts w:ascii="宋体" w:hAnsi="宋体" w:eastAsia="宋体" w:cs="黑体"/>
              </w:rPr>
              <w:t xml:space="preserve"> </w:t>
            </w:r>
            <w:r>
              <w:rPr>
                <w:rFonts w:hint="eastAsia" w:ascii="宋体" w:hAnsi="宋体" w:eastAsia="宋体" w:cs="黑体"/>
              </w:rPr>
              <w:t>宜便于利用城市基础设施；</w:t>
            </w:r>
          </w:p>
          <w:p w14:paraId="521BE4B7">
            <w:pPr>
              <w:ind w:firstLine="480" w:firstLineChars="200"/>
              <w:rPr>
                <w:rFonts w:ascii="宋体" w:hAnsi="宋体" w:eastAsia="宋体" w:cs="黑体"/>
              </w:rPr>
            </w:pPr>
            <w:r>
              <w:rPr>
                <w:rFonts w:hint="eastAsia" w:ascii="宋体" w:hAnsi="宋体" w:eastAsia="宋体" w:cs="黑体"/>
              </w:rPr>
              <w:t>3</w:t>
            </w:r>
            <w:r>
              <w:rPr>
                <w:rFonts w:ascii="宋体" w:hAnsi="宋体" w:eastAsia="宋体" w:cs="黑体"/>
              </w:rPr>
              <w:t xml:space="preserve"> </w:t>
            </w:r>
            <w:r>
              <w:rPr>
                <w:rFonts w:hint="eastAsia" w:ascii="宋体" w:hAnsi="宋体" w:eastAsia="宋体" w:cs="黑体"/>
              </w:rPr>
              <w:t>环境宜安静，应远离污染源；</w:t>
            </w:r>
          </w:p>
          <w:p w14:paraId="132211B5">
            <w:pPr>
              <w:ind w:firstLine="480" w:firstLineChars="200"/>
              <w:rPr>
                <w:rFonts w:ascii="宋体" w:hAnsi="宋体" w:eastAsia="宋体" w:cs="黑体"/>
              </w:rPr>
            </w:pPr>
            <w:r>
              <w:rPr>
                <w:rFonts w:hint="eastAsia" w:ascii="宋体" w:hAnsi="宋体" w:eastAsia="宋体" w:cs="黑体"/>
              </w:rPr>
              <w:t>4 地形宜力求规整，适宜医院功能布局；</w:t>
            </w:r>
          </w:p>
          <w:p w14:paraId="1D0DFC56">
            <w:pPr>
              <w:ind w:firstLine="480" w:firstLineChars="200"/>
              <w:rPr>
                <w:rFonts w:ascii="宋体" w:hAnsi="宋体" w:eastAsia="宋体" w:cs="黑体"/>
              </w:rPr>
            </w:pPr>
            <w:r>
              <w:rPr>
                <w:rFonts w:hint="eastAsia" w:ascii="宋体" w:hAnsi="宋体" w:eastAsia="宋体" w:cs="黑体"/>
              </w:rPr>
              <w:t>5</w:t>
            </w:r>
            <w:r>
              <w:rPr>
                <w:rFonts w:ascii="宋体" w:hAnsi="宋体" w:eastAsia="宋体" w:cs="黑体"/>
              </w:rPr>
              <w:t xml:space="preserve"> </w:t>
            </w:r>
            <w:r>
              <w:rPr>
                <w:rFonts w:hint="eastAsia" w:ascii="宋体" w:hAnsi="宋体" w:eastAsia="宋体" w:cs="黑体"/>
              </w:rPr>
              <w:t>远离易燃、易爆物品的生产和储存区，并应远离高压线路及其设施；</w:t>
            </w:r>
          </w:p>
          <w:p w14:paraId="3C962FD5">
            <w:pPr>
              <w:ind w:firstLine="480" w:firstLineChars="200"/>
              <w:rPr>
                <w:rFonts w:ascii="宋体" w:hAnsi="宋体" w:eastAsia="宋体" w:cs="黑体"/>
              </w:rPr>
            </w:pPr>
            <w:r>
              <w:rPr>
                <w:rFonts w:hint="eastAsia" w:ascii="宋体" w:hAnsi="宋体" w:eastAsia="宋体" w:cs="黑体"/>
              </w:rPr>
              <w:t>6</w:t>
            </w:r>
            <w:r>
              <w:rPr>
                <w:rFonts w:ascii="宋体" w:hAnsi="宋体" w:eastAsia="宋体" w:cs="黑体"/>
              </w:rPr>
              <w:t xml:space="preserve"> </w:t>
            </w:r>
            <w:r>
              <w:rPr>
                <w:rFonts w:hint="eastAsia" w:ascii="宋体" w:hAnsi="宋体" w:eastAsia="宋体" w:cs="黑体"/>
              </w:rPr>
              <w:t>不应</w:t>
            </w:r>
            <w:r>
              <w:rPr>
                <w:rFonts w:hint="eastAsia" w:cs="宋体" w:asciiTheme="minorEastAsia" w:hAnsiTheme="minorEastAsia"/>
                <w:bCs/>
                <w:szCs w:val="36"/>
                <w:bdr w:val="single" w:color="000000" w:sz="4" w:space="0"/>
              </w:rPr>
              <w:t>临</w:t>
            </w:r>
            <w:r>
              <w:rPr>
                <w:rFonts w:hint="eastAsia" w:ascii="宋体" w:hAnsi="宋体" w:eastAsia="宋体" w:cs="黑体"/>
              </w:rPr>
              <w:t>近少年儿童活动密集场所</w:t>
            </w:r>
            <w:r>
              <w:rPr>
                <w:rFonts w:hint="eastAsia" w:cs="宋体" w:asciiTheme="minorEastAsia" w:hAnsiTheme="minorEastAsia"/>
                <w:bCs/>
                <w:szCs w:val="36"/>
                <w:bdr w:val="single" w:color="000000" w:sz="4" w:space="0"/>
              </w:rPr>
              <w:t>；</w:t>
            </w:r>
          </w:p>
          <w:p w14:paraId="53526515">
            <w:pPr>
              <w:ind w:firstLine="480" w:firstLineChars="200"/>
            </w:pPr>
            <w:r>
              <w:rPr>
                <w:rFonts w:hint="eastAsia" w:ascii="宋体" w:hAnsi="宋体" w:eastAsia="宋体" w:cs="宋体"/>
                <w:bCs/>
                <w:szCs w:val="36"/>
                <w:bdr w:val="single" w:color="000000" w:sz="4" w:space="0"/>
              </w:rPr>
              <w:t>7 不应污染、影响城市的其他区域。</w:t>
            </w:r>
          </w:p>
        </w:tc>
        <w:tc>
          <w:tcPr>
            <w:tcW w:w="4261" w:type="dxa"/>
          </w:tcPr>
          <w:p w14:paraId="68FF2A1B">
            <w:pPr>
              <w:rPr>
                <w:rFonts w:ascii="宋体" w:hAnsi="宋体" w:eastAsia="宋体" w:cs="黑体"/>
              </w:rPr>
            </w:pPr>
            <w:r>
              <w:rPr>
                <w:rFonts w:hint="eastAsia" w:ascii="宋体" w:hAnsi="宋体" w:eastAsia="宋体" w:cs="黑体"/>
              </w:rPr>
              <w:t>4.1.2 基地选择应符合下列要求：</w:t>
            </w:r>
          </w:p>
          <w:p w14:paraId="1FFF3BF5">
            <w:pPr>
              <w:ind w:firstLine="480" w:firstLineChars="200"/>
              <w:rPr>
                <w:rFonts w:ascii="宋体" w:hAnsi="宋体" w:eastAsia="宋体" w:cs="黑体"/>
              </w:rPr>
            </w:pPr>
            <w:r>
              <w:rPr>
                <w:rFonts w:hint="eastAsia" w:ascii="宋体" w:hAnsi="宋体" w:eastAsia="宋体" w:cs="黑体"/>
              </w:rPr>
              <w:t>1</w:t>
            </w:r>
            <w:r>
              <w:rPr>
                <w:rFonts w:ascii="宋体" w:hAnsi="宋体" w:eastAsia="宋体" w:cs="黑体"/>
              </w:rPr>
              <w:t xml:space="preserve"> </w:t>
            </w:r>
            <w:r>
              <w:rPr>
                <w:rFonts w:hint="eastAsia" w:ascii="宋体" w:hAnsi="宋体" w:eastAsia="宋体" w:cs="黑体"/>
              </w:rPr>
              <w:t>交通方便，宜面临2条城市道路；</w:t>
            </w:r>
          </w:p>
          <w:p w14:paraId="1DABD9EE">
            <w:pPr>
              <w:ind w:firstLine="480" w:firstLineChars="200"/>
              <w:rPr>
                <w:rFonts w:ascii="宋体" w:hAnsi="宋体" w:eastAsia="宋体" w:cs="黑体"/>
              </w:rPr>
            </w:pPr>
            <w:r>
              <w:rPr>
                <w:rFonts w:hint="eastAsia" w:ascii="宋体" w:hAnsi="宋体" w:eastAsia="宋体" w:cs="黑体"/>
              </w:rPr>
              <w:t>2</w:t>
            </w:r>
            <w:r>
              <w:rPr>
                <w:rFonts w:ascii="宋体" w:hAnsi="宋体" w:eastAsia="宋体" w:cs="黑体"/>
              </w:rPr>
              <w:t xml:space="preserve"> </w:t>
            </w:r>
            <w:r>
              <w:rPr>
                <w:rFonts w:hint="eastAsia" w:ascii="宋体" w:hAnsi="宋体" w:eastAsia="宋体" w:cs="黑体"/>
              </w:rPr>
              <w:t>宜便于利用城市基础设施；</w:t>
            </w:r>
          </w:p>
          <w:p w14:paraId="64D45494">
            <w:pPr>
              <w:ind w:firstLine="480" w:firstLineChars="200"/>
              <w:rPr>
                <w:rFonts w:ascii="宋体" w:hAnsi="宋体" w:eastAsia="宋体" w:cs="黑体"/>
              </w:rPr>
            </w:pPr>
            <w:r>
              <w:rPr>
                <w:rFonts w:hint="eastAsia" w:ascii="宋体" w:hAnsi="宋体" w:eastAsia="宋体" w:cs="黑体"/>
              </w:rPr>
              <w:t>3</w:t>
            </w:r>
            <w:r>
              <w:rPr>
                <w:rFonts w:ascii="宋体" w:hAnsi="宋体" w:eastAsia="宋体" w:cs="黑体"/>
              </w:rPr>
              <w:t xml:space="preserve"> </w:t>
            </w:r>
            <w:r>
              <w:rPr>
                <w:rFonts w:hint="eastAsia" w:ascii="宋体" w:hAnsi="宋体" w:eastAsia="宋体" w:cs="黑体"/>
              </w:rPr>
              <w:t>环境宜安静，应远离污染源；</w:t>
            </w:r>
          </w:p>
          <w:p w14:paraId="40BD98CB">
            <w:pPr>
              <w:ind w:firstLine="480" w:firstLineChars="200"/>
              <w:rPr>
                <w:rFonts w:ascii="宋体" w:hAnsi="宋体" w:eastAsia="宋体" w:cs="黑体"/>
              </w:rPr>
            </w:pPr>
            <w:r>
              <w:rPr>
                <w:rFonts w:hint="eastAsia" w:ascii="宋体" w:hAnsi="宋体" w:eastAsia="宋体" w:cs="黑体"/>
              </w:rPr>
              <w:t>4</w:t>
            </w:r>
            <w:r>
              <w:rPr>
                <w:rFonts w:ascii="宋体" w:hAnsi="宋体" w:eastAsia="宋体" w:cs="黑体"/>
              </w:rPr>
              <w:t xml:space="preserve"> </w:t>
            </w:r>
            <w:r>
              <w:rPr>
                <w:rFonts w:hint="eastAsia" w:ascii="宋体" w:hAnsi="宋体" w:eastAsia="宋体" w:cs="黑体"/>
                <w:u w:val="single"/>
              </w:rPr>
              <w:t>宜位于区域</w:t>
            </w:r>
            <w:r>
              <w:rPr>
                <w:rFonts w:ascii="宋体" w:hAnsi="宋体" w:eastAsia="宋体" w:cs="黑体"/>
                <w:u w:val="single"/>
              </w:rPr>
              <w:t>地势较高地段，</w:t>
            </w:r>
            <w:r>
              <w:rPr>
                <w:rFonts w:hint="eastAsia" w:ascii="宋体" w:hAnsi="宋体" w:eastAsia="宋体" w:cs="黑体"/>
              </w:rPr>
              <w:t>地形宜力求规整，适宜医院功能布局；</w:t>
            </w:r>
          </w:p>
          <w:p w14:paraId="449B7438">
            <w:pPr>
              <w:ind w:firstLine="480" w:firstLineChars="200"/>
              <w:rPr>
                <w:rFonts w:ascii="宋体" w:hAnsi="宋体" w:eastAsia="宋体" w:cs="黑体"/>
              </w:rPr>
            </w:pPr>
            <w:r>
              <w:rPr>
                <w:rFonts w:hint="eastAsia" w:ascii="宋体" w:hAnsi="宋体" w:eastAsia="宋体" w:cs="黑体"/>
              </w:rPr>
              <w:t>5</w:t>
            </w:r>
            <w:r>
              <w:rPr>
                <w:rFonts w:ascii="宋体" w:hAnsi="宋体" w:eastAsia="宋体" w:cs="黑体"/>
              </w:rPr>
              <w:t xml:space="preserve"> </w:t>
            </w:r>
            <w:r>
              <w:rPr>
                <w:rFonts w:hint="eastAsia" w:ascii="宋体" w:hAnsi="宋体" w:eastAsia="宋体" w:cs="黑体"/>
              </w:rPr>
              <w:t>远离易燃、易爆物品的生产和储存区，并应远离高压线路及其设施；</w:t>
            </w:r>
          </w:p>
          <w:p w14:paraId="1AFCB5CA">
            <w:pPr>
              <w:ind w:firstLine="480" w:firstLineChars="200"/>
            </w:pPr>
            <w:r>
              <w:rPr>
                <w:rFonts w:hint="eastAsia" w:ascii="宋体" w:hAnsi="宋体" w:eastAsia="宋体" w:cs="黑体"/>
              </w:rPr>
              <w:t>6</w:t>
            </w:r>
            <w:r>
              <w:rPr>
                <w:rFonts w:ascii="宋体" w:hAnsi="宋体" w:eastAsia="宋体" w:cs="黑体"/>
              </w:rPr>
              <w:t xml:space="preserve"> </w:t>
            </w:r>
            <w:r>
              <w:rPr>
                <w:rFonts w:hint="eastAsia" w:ascii="宋体" w:hAnsi="宋体" w:eastAsia="宋体" w:cs="黑体"/>
              </w:rPr>
              <w:t>不应</w:t>
            </w:r>
            <w:r>
              <w:rPr>
                <w:rFonts w:hint="eastAsia" w:cs="黑体" w:asciiTheme="minorEastAsia" w:hAnsiTheme="minorEastAsia"/>
                <w:u w:val="single"/>
              </w:rPr>
              <w:t>邻</w:t>
            </w:r>
            <w:r>
              <w:rPr>
                <w:rFonts w:hint="eastAsia" w:ascii="宋体" w:hAnsi="宋体" w:eastAsia="宋体" w:cs="黑体"/>
              </w:rPr>
              <w:t>近少年儿童活动密集场所</w:t>
            </w:r>
            <w:r>
              <w:rPr>
                <w:rFonts w:hint="eastAsia" w:ascii="宋体" w:hAnsi="宋体" w:eastAsia="宋体" w:cs="黑体"/>
                <w:u w:val="single"/>
              </w:rPr>
              <w:t>。</w:t>
            </w:r>
          </w:p>
        </w:tc>
      </w:tr>
      <w:tr w14:paraId="4EAAA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7AC705A">
            <w:pPr>
              <w:jc w:val="center"/>
              <w:rPr>
                <w:rFonts w:asciiTheme="minorEastAsia" w:hAnsiTheme="minorEastAsia"/>
              </w:rPr>
            </w:pPr>
            <w:bookmarkStart w:id="4" w:name="_Toc85880719"/>
            <w:r>
              <w:rPr>
                <w:rFonts w:hint="eastAsia" w:asciiTheme="minorEastAsia" w:hAnsiTheme="minorEastAsia"/>
              </w:rPr>
              <w:t>4.2</w:t>
            </w:r>
            <w:r>
              <w:rPr>
                <w:rFonts w:asciiTheme="minorEastAsia" w:hAnsiTheme="minorEastAsia"/>
              </w:rPr>
              <w:t xml:space="preserve"> </w:t>
            </w:r>
            <w:r>
              <w:rPr>
                <w:rFonts w:hint="eastAsia" w:asciiTheme="minorEastAsia" w:hAnsiTheme="minorEastAsia"/>
              </w:rPr>
              <w:t>总平面</w:t>
            </w:r>
            <w:bookmarkEnd w:id="4"/>
          </w:p>
        </w:tc>
        <w:tc>
          <w:tcPr>
            <w:tcW w:w="4261" w:type="dxa"/>
          </w:tcPr>
          <w:p w14:paraId="4D5EF35A">
            <w:pPr>
              <w:jc w:val="center"/>
              <w:rPr>
                <w:rFonts w:asciiTheme="minorEastAsia" w:hAnsiTheme="minorEastAsia"/>
              </w:rPr>
            </w:pPr>
            <w:r>
              <w:rPr>
                <w:rFonts w:hint="eastAsia" w:asciiTheme="minorEastAsia" w:hAnsiTheme="minorEastAsia"/>
              </w:rPr>
              <w:t>4.2</w:t>
            </w:r>
            <w:r>
              <w:rPr>
                <w:rFonts w:asciiTheme="minorEastAsia" w:hAnsiTheme="minorEastAsia"/>
              </w:rPr>
              <w:t xml:space="preserve"> </w:t>
            </w:r>
            <w:r>
              <w:rPr>
                <w:rFonts w:hint="eastAsia" w:asciiTheme="minorEastAsia" w:hAnsiTheme="minorEastAsia"/>
              </w:rPr>
              <w:t>总平面</w:t>
            </w:r>
          </w:p>
        </w:tc>
      </w:tr>
      <w:tr w14:paraId="00274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578F0B1">
            <w:pPr>
              <w:rPr>
                <w:rFonts w:ascii="宋体" w:hAnsi="宋体" w:eastAsia="宋体" w:cs="黑体"/>
              </w:rPr>
            </w:pPr>
            <w:r>
              <w:rPr>
                <w:rFonts w:hint="eastAsia" w:ascii="宋体" w:hAnsi="宋体" w:eastAsia="宋体" w:cs="黑体"/>
              </w:rPr>
              <w:t>4.2.1 总平面设计应符合下列要求：</w:t>
            </w:r>
          </w:p>
          <w:p w14:paraId="5BB6620F">
            <w:pPr>
              <w:ind w:firstLine="480" w:firstLineChars="200"/>
              <w:rPr>
                <w:rFonts w:ascii="宋体" w:hAnsi="宋体" w:eastAsia="宋体" w:cs="黑体"/>
              </w:rPr>
            </w:pPr>
            <w:r>
              <w:rPr>
                <w:rFonts w:hint="eastAsia" w:ascii="宋体" w:hAnsi="宋体" w:eastAsia="宋体" w:cs="黑体"/>
              </w:rPr>
              <w:t>1 合理进行功能分区，洁污、医患、人车等流线组织清晰，并应避免院内感染风险；</w:t>
            </w:r>
          </w:p>
          <w:p w14:paraId="7EDCB648">
            <w:pPr>
              <w:ind w:firstLine="480" w:firstLineChars="200"/>
              <w:rPr>
                <w:rFonts w:ascii="宋体" w:hAnsi="宋体" w:eastAsia="宋体" w:cs="黑体"/>
              </w:rPr>
            </w:pPr>
            <w:r>
              <w:rPr>
                <w:rFonts w:hint="eastAsia" w:ascii="宋体" w:hAnsi="宋体" w:eastAsia="宋体" w:cs="黑体"/>
              </w:rPr>
              <w:t>2 建筑布局紧凑，交通便捷，并应方便管理、减少能耗；</w:t>
            </w:r>
          </w:p>
          <w:p w14:paraId="7449EA61">
            <w:pPr>
              <w:ind w:firstLine="480" w:firstLineChars="200"/>
              <w:rPr>
                <w:rFonts w:ascii="宋体" w:hAnsi="宋体" w:eastAsia="宋体" w:cs="黑体"/>
              </w:rPr>
            </w:pPr>
            <w:r>
              <w:rPr>
                <w:rFonts w:hint="eastAsia" w:ascii="宋体" w:hAnsi="宋体" w:eastAsia="宋体" w:cs="黑体"/>
              </w:rPr>
              <w:t>3 应保证住院、手术、功能检查和教学科研等用房的环境安静；</w:t>
            </w:r>
          </w:p>
          <w:p w14:paraId="52B17FC0">
            <w:pPr>
              <w:ind w:firstLine="480" w:firstLineChars="200"/>
              <w:rPr>
                <w:rFonts w:ascii="宋体" w:hAnsi="宋体" w:eastAsia="宋体" w:cs="黑体"/>
              </w:rPr>
            </w:pPr>
            <w:r>
              <w:rPr>
                <w:rFonts w:hint="eastAsia" w:ascii="宋体" w:hAnsi="宋体" w:eastAsia="宋体" w:cs="黑体"/>
              </w:rPr>
              <w:t>4</w:t>
            </w:r>
            <w:r>
              <w:rPr>
                <w:rFonts w:ascii="宋体" w:hAnsi="宋体" w:eastAsia="宋体" w:cs="黑体"/>
              </w:rPr>
              <w:t xml:space="preserve"> </w:t>
            </w:r>
            <w:r>
              <w:rPr>
                <w:rFonts w:hint="eastAsia" w:ascii="宋体" w:hAnsi="宋体" w:eastAsia="宋体" w:cs="黑体"/>
                <w:bdr w:val="single" w:color="auto" w:sz="4" w:space="0"/>
              </w:rPr>
              <w:t>病房宜能获得良好朝向</w:t>
            </w:r>
            <w:r>
              <w:rPr>
                <w:rFonts w:hint="eastAsia" w:ascii="宋体" w:hAnsi="宋体" w:eastAsia="宋体" w:cs="黑体"/>
              </w:rPr>
              <w:t>；</w:t>
            </w:r>
          </w:p>
          <w:p w14:paraId="7E7ED3F8">
            <w:pPr>
              <w:ind w:firstLine="480" w:firstLineChars="200"/>
              <w:rPr>
                <w:rFonts w:ascii="宋体" w:hAnsi="宋体" w:eastAsia="宋体" w:cs="黑体"/>
              </w:rPr>
            </w:pPr>
            <w:r>
              <w:rPr>
                <w:rFonts w:hint="eastAsia" w:ascii="宋体" w:hAnsi="宋体" w:eastAsia="宋体" w:cs="黑体"/>
              </w:rPr>
              <w:t>5 宜留有可发展或改建、扩建的用地；</w:t>
            </w:r>
          </w:p>
          <w:p w14:paraId="6296CE86">
            <w:pPr>
              <w:ind w:firstLine="480" w:firstLineChars="200"/>
              <w:rPr>
                <w:rFonts w:ascii="宋体" w:hAnsi="宋体" w:eastAsia="宋体" w:cs="黑体"/>
              </w:rPr>
            </w:pPr>
            <w:r>
              <w:rPr>
                <w:rFonts w:hint="eastAsia" w:ascii="宋体" w:hAnsi="宋体" w:eastAsia="宋体" w:cs="黑体"/>
              </w:rPr>
              <w:t>6 应有完整的绿化规划；</w:t>
            </w:r>
          </w:p>
          <w:p w14:paraId="0CB9D20E">
            <w:pPr>
              <w:ind w:firstLine="480" w:firstLineChars="200"/>
            </w:pPr>
            <w:r>
              <w:rPr>
                <w:rFonts w:hint="eastAsia" w:ascii="宋体" w:hAnsi="宋体" w:eastAsia="宋体" w:cs="黑体"/>
              </w:rPr>
              <w:t>7</w:t>
            </w:r>
            <w:r>
              <w:rPr>
                <w:rFonts w:ascii="宋体" w:hAnsi="宋体" w:eastAsia="宋体" w:cs="黑体"/>
              </w:rPr>
              <w:t xml:space="preserve"> </w:t>
            </w:r>
            <w:r>
              <w:rPr>
                <w:rFonts w:hint="eastAsia" w:ascii="宋体" w:hAnsi="宋体" w:eastAsia="宋体" w:cs="黑体"/>
                <w:bdr w:val="single" w:color="auto" w:sz="4" w:space="0"/>
              </w:rPr>
              <w:t>对</w:t>
            </w:r>
            <w:r>
              <w:rPr>
                <w:rFonts w:hint="eastAsia" w:ascii="宋体" w:hAnsi="宋体" w:eastAsia="宋体" w:cs="黑体"/>
              </w:rPr>
              <w:t>废弃物的</w:t>
            </w:r>
            <w:r>
              <w:rPr>
                <w:rFonts w:hint="eastAsia" w:ascii="宋体" w:hAnsi="宋体" w:eastAsia="宋体" w:cs="黑体"/>
                <w:bdr w:val="single" w:color="auto" w:sz="4" w:space="0"/>
              </w:rPr>
              <w:t>处理作出妥善的安排，</w:t>
            </w:r>
            <w:r>
              <w:rPr>
                <w:rFonts w:hint="eastAsia" w:ascii="宋体" w:hAnsi="宋体" w:eastAsia="宋体" w:cs="黑体"/>
              </w:rPr>
              <w:t>并应符合有关环境保护法令、法规的规定。</w:t>
            </w:r>
          </w:p>
        </w:tc>
        <w:tc>
          <w:tcPr>
            <w:tcW w:w="4261" w:type="dxa"/>
          </w:tcPr>
          <w:p w14:paraId="2A3A2D69">
            <w:pPr>
              <w:rPr>
                <w:rFonts w:ascii="宋体" w:hAnsi="宋体" w:eastAsia="宋体" w:cs="黑体"/>
              </w:rPr>
            </w:pPr>
            <w:r>
              <w:rPr>
                <w:rFonts w:hint="eastAsia" w:ascii="宋体" w:hAnsi="宋体" w:eastAsia="宋体" w:cs="黑体"/>
              </w:rPr>
              <w:t>4.2.1 总平面设计应符合下列要求：</w:t>
            </w:r>
          </w:p>
          <w:p w14:paraId="14ECF116">
            <w:pPr>
              <w:ind w:firstLine="480" w:firstLineChars="200"/>
              <w:rPr>
                <w:rFonts w:ascii="宋体" w:hAnsi="宋体" w:eastAsia="宋体" w:cs="黑体"/>
              </w:rPr>
            </w:pPr>
            <w:r>
              <w:rPr>
                <w:rFonts w:hint="eastAsia" w:ascii="宋体" w:hAnsi="宋体" w:eastAsia="宋体" w:cs="黑体"/>
              </w:rPr>
              <w:t>1 合理进行功能分区，洁污、医患、人车等流线组织清晰，并应避免院内感染风险；</w:t>
            </w:r>
          </w:p>
          <w:p w14:paraId="60E98799">
            <w:pPr>
              <w:ind w:firstLine="480" w:firstLineChars="200"/>
              <w:rPr>
                <w:rFonts w:ascii="宋体" w:hAnsi="宋体" w:eastAsia="宋体" w:cs="黑体"/>
              </w:rPr>
            </w:pPr>
            <w:r>
              <w:rPr>
                <w:rFonts w:hint="eastAsia" w:ascii="宋体" w:hAnsi="宋体" w:eastAsia="宋体" w:cs="黑体"/>
              </w:rPr>
              <w:t>2 建筑布局紧凑，交通便捷，并应方便管理、减少能耗；</w:t>
            </w:r>
          </w:p>
          <w:p w14:paraId="7A03D1AB">
            <w:pPr>
              <w:ind w:firstLine="480" w:firstLineChars="200"/>
              <w:rPr>
                <w:rFonts w:ascii="宋体" w:hAnsi="宋体" w:eastAsia="宋体" w:cs="黑体"/>
              </w:rPr>
            </w:pPr>
            <w:r>
              <w:rPr>
                <w:rFonts w:hint="eastAsia" w:ascii="宋体" w:hAnsi="宋体" w:eastAsia="宋体" w:cs="黑体"/>
              </w:rPr>
              <w:t>3 应保证住院、手术、功能检查和教学科研等用房的环境安静</w:t>
            </w:r>
            <w:r>
              <w:rPr>
                <w:rFonts w:hint="eastAsia" w:ascii="宋体" w:hAnsi="宋体" w:eastAsia="宋体" w:cs="黑体"/>
                <w:u w:val="single"/>
              </w:rPr>
              <w:t>，变</w:t>
            </w:r>
            <w:r>
              <w:rPr>
                <w:rFonts w:ascii="宋体" w:hAnsi="宋体" w:eastAsia="宋体" w:cs="黑体"/>
                <w:u w:val="single"/>
              </w:rPr>
              <w:t>配电</w:t>
            </w:r>
            <w:r>
              <w:rPr>
                <w:rFonts w:hint="eastAsia" w:ascii="宋体" w:hAnsi="宋体" w:eastAsia="宋体" w:cs="黑体"/>
                <w:u w:val="single"/>
              </w:rPr>
              <w:t>机房</w:t>
            </w:r>
            <w:r>
              <w:rPr>
                <w:rFonts w:ascii="宋体" w:hAnsi="宋体" w:eastAsia="宋体" w:cs="黑体"/>
                <w:u w:val="single"/>
              </w:rPr>
              <w:t>、氧气站房等</w:t>
            </w:r>
            <w:r>
              <w:rPr>
                <w:rFonts w:hint="eastAsia" w:ascii="宋体" w:hAnsi="宋体" w:eastAsia="宋体" w:cs="黑体"/>
                <w:u w:val="single"/>
              </w:rPr>
              <w:t>重要保障</w:t>
            </w:r>
            <w:r>
              <w:rPr>
                <w:rFonts w:ascii="宋体" w:hAnsi="宋体" w:eastAsia="宋体" w:cs="黑体"/>
                <w:u w:val="single"/>
              </w:rPr>
              <w:t>系统</w:t>
            </w:r>
            <w:r>
              <w:rPr>
                <w:rFonts w:hint="eastAsia" w:ascii="宋体" w:hAnsi="宋体" w:eastAsia="宋体" w:cs="黑体"/>
                <w:u w:val="single"/>
              </w:rPr>
              <w:t>应</w:t>
            </w:r>
            <w:r>
              <w:rPr>
                <w:rFonts w:ascii="宋体" w:hAnsi="宋体" w:eastAsia="宋体" w:cs="黑体"/>
                <w:u w:val="single"/>
              </w:rPr>
              <w:t>合理选址布局，避免</w:t>
            </w:r>
            <w:r>
              <w:rPr>
                <w:rFonts w:hint="eastAsia" w:ascii="宋体" w:hAnsi="宋体" w:eastAsia="宋体" w:cs="黑体"/>
                <w:u w:val="single"/>
              </w:rPr>
              <w:t>暴雨、</w:t>
            </w:r>
            <w:r>
              <w:rPr>
                <w:rFonts w:ascii="宋体" w:hAnsi="宋体" w:eastAsia="宋体" w:cs="黑体"/>
                <w:u w:val="single"/>
              </w:rPr>
              <w:t>洪水、台风等灾害的</w:t>
            </w:r>
            <w:r>
              <w:rPr>
                <w:rFonts w:hint="eastAsia" w:ascii="宋体" w:hAnsi="宋体" w:eastAsia="宋体" w:cs="黑体"/>
                <w:u w:val="single"/>
              </w:rPr>
              <w:t>不利影响</w:t>
            </w:r>
            <w:r>
              <w:rPr>
                <w:rFonts w:hint="eastAsia" w:ascii="宋体" w:hAnsi="宋体" w:eastAsia="宋体" w:cs="黑体"/>
              </w:rPr>
              <w:t>；</w:t>
            </w:r>
          </w:p>
          <w:p w14:paraId="7F8F8C32">
            <w:pPr>
              <w:ind w:firstLine="480" w:firstLineChars="200"/>
              <w:rPr>
                <w:rFonts w:ascii="宋体" w:hAnsi="宋体" w:eastAsia="宋体" w:cs="黑体"/>
              </w:rPr>
            </w:pPr>
            <w:r>
              <w:rPr>
                <w:rFonts w:hint="eastAsia" w:ascii="宋体" w:hAnsi="宋体" w:eastAsia="宋体" w:cs="黑体"/>
              </w:rPr>
              <w:t>4</w:t>
            </w:r>
            <w:r>
              <w:rPr>
                <w:rFonts w:ascii="宋体" w:hAnsi="宋体" w:eastAsia="宋体" w:cs="黑体"/>
              </w:rPr>
              <w:t xml:space="preserve"> </w:t>
            </w:r>
            <w:r>
              <w:rPr>
                <w:rFonts w:hint="eastAsia" w:ascii="宋体" w:hAnsi="宋体" w:eastAsia="宋体" w:cs="黑体"/>
                <w:u w:val="single"/>
              </w:rPr>
              <w:t>根据使用功能要求，建筑的使用空间应充分利用日照、采光、通风和景观等自然条件</w:t>
            </w:r>
            <w:r>
              <w:rPr>
                <w:rFonts w:hint="eastAsia" w:ascii="宋体" w:hAnsi="宋体" w:eastAsia="宋体" w:cs="黑体"/>
              </w:rPr>
              <w:t>；</w:t>
            </w:r>
          </w:p>
          <w:p w14:paraId="41025CC4">
            <w:pPr>
              <w:ind w:firstLine="480" w:firstLineChars="200"/>
              <w:rPr>
                <w:rFonts w:ascii="宋体" w:hAnsi="宋体" w:eastAsia="宋体" w:cs="黑体"/>
              </w:rPr>
            </w:pPr>
            <w:r>
              <w:rPr>
                <w:rFonts w:hint="eastAsia" w:ascii="宋体" w:hAnsi="宋体" w:eastAsia="宋体" w:cs="黑体"/>
              </w:rPr>
              <w:t>5 宜留有可发展或改建、扩建的用地；</w:t>
            </w:r>
          </w:p>
          <w:p w14:paraId="47C32373">
            <w:pPr>
              <w:ind w:firstLine="480" w:firstLineChars="200"/>
              <w:rPr>
                <w:rFonts w:ascii="宋体" w:hAnsi="宋体" w:eastAsia="宋体" w:cs="黑体"/>
              </w:rPr>
            </w:pPr>
            <w:r>
              <w:rPr>
                <w:rFonts w:hint="eastAsia" w:ascii="宋体" w:hAnsi="宋体" w:eastAsia="宋体" w:cs="黑体"/>
              </w:rPr>
              <w:t>6 应有完整的绿化规划；</w:t>
            </w:r>
          </w:p>
          <w:p w14:paraId="4FBC26BF">
            <w:pPr>
              <w:ind w:firstLine="480" w:firstLineChars="200"/>
            </w:pPr>
            <w:r>
              <w:rPr>
                <w:rFonts w:hint="eastAsia" w:ascii="宋体" w:hAnsi="宋体" w:eastAsia="宋体" w:cs="黑体"/>
              </w:rPr>
              <w:t>7</w:t>
            </w:r>
            <w:r>
              <w:rPr>
                <w:rFonts w:ascii="宋体" w:hAnsi="宋体" w:eastAsia="宋体" w:cs="黑体"/>
              </w:rPr>
              <w:t xml:space="preserve"> </w:t>
            </w:r>
            <w:r>
              <w:rPr>
                <w:rFonts w:hint="eastAsia" w:ascii="宋体" w:hAnsi="宋体" w:eastAsia="宋体" w:cs="黑体"/>
              </w:rPr>
              <w:t>废弃物的</w:t>
            </w:r>
            <w:r>
              <w:rPr>
                <w:rFonts w:hint="eastAsia" w:ascii="宋体" w:hAnsi="宋体" w:eastAsia="宋体" w:cs="黑体"/>
                <w:u w:val="single"/>
              </w:rPr>
              <w:t>集中收集存放</w:t>
            </w:r>
            <w:r>
              <w:rPr>
                <w:rFonts w:ascii="宋体" w:hAnsi="宋体" w:eastAsia="宋体" w:cs="宋体"/>
                <w:u w:val="single"/>
                <w:lang w:val="zh-TW" w:eastAsia="zh-TW"/>
              </w:rPr>
              <w:t>用房宜远离主要业务用房</w:t>
            </w:r>
            <w:r>
              <w:rPr>
                <w:rFonts w:hint="eastAsia" w:ascii="宋体" w:hAnsi="宋体" w:eastAsia="宋体" w:cs="宋体"/>
                <w:u w:val="single"/>
                <w:lang w:val="zh-TW"/>
              </w:rPr>
              <w:t>和对环境</w:t>
            </w:r>
            <w:r>
              <w:rPr>
                <w:rFonts w:ascii="宋体" w:hAnsi="宋体" w:eastAsia="宋体" w:cs="宋体"/>
                <w:u w:val="single"/>
                <w:lang w:val="zh-TW"/>
              </w:rPr>
              <w:t>卫生要求较高的</w:t>
            </w:r>
            <w:r>
              <w:rPr>
                <w:rFonts w:ascii="宋体" w:hAnsi="宋体" w:eastAsia="宋体" w:cs="宋体"/>
                <w:u w:val="single"/>
                <w:lang w:val="zh-TW" w:eastAsia="zh-TW"/>
              </w:rPr>
              <w:t>用房</w:t>
            </w:r>
            <w:r>
              <w:rPr>
                <w:rFonts w:hint="eastAsia" w:ascii="宋体" w:hAnsi="宋体" w:eastAsia="宋体" w:cs="黑体"/>
              </w:rPr>
              <w:t>，并应符合有关环境保护法令、法规的规定。</w:t>
            </w:r>
          </w:p>
        </w:tc>
      </w:tr>
      <w:tr w14:paraId="71997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F794E9A">
            <w:r>
              <w:rPr>
                <w:rFonts w:hint="eastAsia" w:asciiTheme="minorEastAsia" w:hAnsiTheme="minorEastAsia"/>
                <w:bCs/>
              </w:rPr>
              <w:t>4.2.2 医院出入口不应少于2处，人员出入口不应兼作尸体或废弃物出口。</w:t>
            </w:r>
          </w:p>
        </w:tc>
        <w:tc>
          <w:tcPr>
            <w:tcW w:w="4261" w:type="dxa"/>
          </w:tcPr>
          <w:p w14:paraId="7BC938EB">
            <w:r>
              <w:rPr>
                <w:rFonts w:hint="eastAsia" w:asciiTheme="minorEastAsia" w:hAnsiTheme="minorEastAsia"/>
                <w:bCs/>
              </w:rPr>
              <w:t>4.2.2 医院出入口不应少于2处，人员</w:t>
            </w:r>
            <w:r>
              <w:rPr>
                <w:rFonts w:hint="eastAsia" w:cs="宋体" w:asciiTheme="minorEastAsia" w:hAnsiTheme="minorEastAsia"/>
                <w:u w:val="single"/>
                <w:lang w:val="zh-TW" w:eastAsia="zh-TW"/>
              </w:rPr>
              <w:t>主要</w:t>
            </w:r>
            <w:r>
              <w:rPr>
                <w:rFonts w:hint="eastAsia" w:asciiTheme="minorEastAsia" w:hAnsiTheme="minorEastAsia"/>
                <w:bCs/>
              </w:rPr>
              <w:t>出入口不应兼作尸体或废弃物出口。</w:t>
            </w:r>
          </w:p>
        </w:tc>
      </w:tr>
      <w:tr w14:paraId="5A76B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F1077F1">
            <w:r>
              <w:rPr>
                <w:rFonts w:hint="eastAsia" w:asciiTheme="minorEastAsia" w:hAnsiTheme="minorEastAsia"/>
                <w:bCs/>
              </w:rPr>
              <w:t>4.2.3 在门诊、急诊和住院用房等入口</w:t>
            </w:r>
            <w:r>
              <w:rPr>
                <w:rFonts w:hint="eastAsia" w:asciiTheme="minorEastAsia" w:hAnsiTheme="minorEastAsia"/>
                <w:bCs/>
                <w:bdr w:val="single" w:color="auto" w:sz="4" w:space="0"/>
              </w:rPr>
              <w:t>附近应设</w:t>
            </w:r>
            <w:r>
              <w:rPr>
                <w:rFonts w:hint="eastAsia" w:asciiTheme="minorEastAsia" w:hAnsiTheme="minorEastAsia"/>
                <w:bCs/>
              </w:rPr>
              <w:t>车辆停放场地。</w:t>
            </w:r>
          </w:p>
        </w:tc>
        <w:tc>
          <w:tcPr>
            <w:tcW w:w="4261" w:type="dxa"/>
          </w:tcPr>
          <w:p w14:paraId="15D6548F">
            <w:r>
              <w:rPr>
                <w:rFonts w:hint="eastAsia" w:asciiTheme="minorEastAsia" w:hAnsiTheme="minorEastAsia"/>
                <w:bCs/>
              </w:rPr>
              <w:t>4.2.3 在</w:t>
            </w:r>
            <w:r>
              <w:rPr>
                <w:rFonts w:hint="eastAsia" w:asciiTheme="minorEastAsia" w:hAnsiTheme="minorEastAsia"/>
                <w:kern w:val="0"/>
                <w:u w:val="single"/>
              </w:rPr>
              <w:t>邻近</w:t>
            </w:r>
            <w:r>
              <w:rPr>
                <w:rFonts w:hint="eastAsia" w:asciiTheme="minorEastAsia" w:hAnsiTheme="minorEastAsia"/>
                <w:bCs/>
              </w:rPr>
              <w:t>门诊、急诊和住院用房等入口</w:t>
            </w:r>
            <w:r>
              <w:rPr>
                <w:rFonts w:hint="eastAsia" w:asciiTheme="minorEastAsia" w:hAnsiTheme="minorEastAsia"/>
                <w:kern w:val="0"/>
                <w:u w:val="single"/>
              </w:rPr>
              <w:t>或</w:t>
            </w:r>
            <w:r>
              <w:rPr>
                <w:rFonts w:asciiTheme="minorEastAsia" w:hAnsiTheme="minorEastAsia"/>
                <w:kern w:val="0"/>
                <w:u w:val="single"/>
              </w:rPr>
              <w:t>相应交通核</w:t>
            </w:r>
            <w:r>
              <w:rPr>
                <w:rFonts w:hint="eastAsia" w:asciiTheme="minorEastAsia" w:hAnsiTheme="minorEastAsia"/>
                <w:kern w:val="0"/>
                <w:u w:val="single"/>
              </w:rPr>
              <w:t>区域</w:t>
            </w:r>
            <w:r>
              <w:rPr>
                <w:rFonts w:hint="eastAsia" w:asciiTheme="minorEastAsia" w:hAnsiTheme="minorEastAsia"/>
                <w:bCs/>
                <w:u w:val="single"/>
              </w:rPr>
              <w:t>宜</w:t>
            </w:r>
            <w:r>
              <w:rPr>
                <w:rFonts w:hint="eastAsia" w:asciiTheme="minorEastAsia" w:hAnsiTheme="minorEastAsia"/>
                <w:kern w:val="0"/>
                <w:u w:val="single"/>
              </w:rPr>
              <w:t>设置</w:t>
            </w:r>
            <w:r>
              <w:rPr>
                <w:rFonts w:hint="eastAsia" w:asciiTheme="minorEastAsia" w:hAnsiTheme="minorEastAsia"/>
                <w:bCs/>
              </w:rPr>
              <w:t>车辆</w:t>
            </w:r>
            <w:r>
              <w:rPr>
                <w:rFonts w:hint="eastAsia" w:asciiTheme="minorEastAsia" w:hAnsiTheme="minorEastAsia"/>
                <w:kern w:val="0"/>
                <w:u w:val="single"/>
              </w:rPr>
              <w:t>落客</w:t>
            </w:r>
            <w:r>
              <w:rPr>
                <w:rFonts w:asciiTheme="minorEastAsia" w:hAnsiTheme="minorEastAsia"/>
                <w:kern w:val="0"/>
                <w:u w:val="single"/>
              </w:rPr>
              <w:t>或</w:t>
            </w:r>
            <w:r>
              <w:rPr>
                <w:rFonts w:hint="eastAsia" w:asciiTheme="minorEastAsia" w:hAnsiTheme="minorEastAsia"/>
                <w:bCs/>
              </w:rPr>
              <w:t>停放场地。</w:t>
            </w:r>
          </w:p>
        </w:tc>
      </w:tr>
      <w:tr w14:paraId="7D6F6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274E551">
            <w:r>
              <w:rPr>
                <w:rFonts w:hint="eastAsia" w:cs="黑体" w:asciiTheme="minorEastAsia" w:hAnsiTheme="minorEastAsia"/>
              </w:rPr>
              <w:t>4.2.4</w:t>
            </w:r>
            <w:r>
              <w:rPr>
                <w:rFonts w:cs="黑体" w:asciiTheme="minorEastAsia" w:hAnsiTheme="minorEastAsia"/>
              </w:rPr>
              <w:t xml:space="preserve"> </w:t>
            </w:r>
            <w:r>
              <w:rPr>
                <w:rFonts w:hint="eastAsia" w:cs="黑体" w:asciiTheme="minorEastAsia" w:hAnsiTheme="minorEastAsia"/>
              </w:rPr>
              <w:t>太平间、病理解剖室应设于医院隐蔽处。</w:t>
            </w:r>
            <w:r>
              <w:rPr>
                <w:rFonts w:hint="eastAsia" w:cs="黑体" w:asciiTheme="minorEastAsia" w:hAnsiTheme="minorEastAsia"/>
                <w:bdr w:val="single" w:color="auto" w:sz="4" w:space="0"/>
              </w:rPr>
              <w:t>需设焚烧炉时，应避免风向影响，并应与主体建筑隔离。</w:t>
            </w:r>
            <w:r>
              <w:rPr>
                <w:rFonts w:hint="eastAsia" w:cs="黑体" w:asciiTheme="minorEastAsia" w:hAnsiTheme="minorEastAsia"/>
              </w:rPr>
              <w:t>尸体运送路线应避免与出入院路线交叉。</w:t>
            </w:r>
          </w:p>
        </w:tc>
        <w:tc>
          <w:tcPr>
            <w:tcW w:w="4261" w:type="dxa"/>
          </w:tcPr>
          <w:p w14:paraId="198E26B3">
            <w:r>
              <w:rPr>
                <w:rFonts w:hint="eastAsia" w:cs="黑体" w:asciiTheme="minorEastAsia" w:hAnsiTheme="minorEastAsia"/>
              </w:rPr>
              <w:t>4.2.4</w:t>
            </w:r>
            <w:r>
              <w:rPr>
                <w:rFonts w:cs="黑体" w:asciiTheme="minorEastAsia" w:hAnsiTheme="minorEastAsia"/>
              </w:rPr>
              <w:t xml:space="preserve"> </w:t>
            </w:r>
            <w:r>
              <w:rPr>
                <w:rFonts w:hint="eastAsia" w:cs="黑体" w:asciiTheme="minorEastAsia" w:hAnsiTheme="minorEastAsia"/>
              </w:rPr>
              <w:t>太平间、病理解剖室应设于医院隐蔽处。尸体运送路线应避免与出入院路线交叉。</w:t>
            </w:r>
          </w:p>
        </w:tc>
      </w:tr>
      <w:tr w14:paraId="7F29B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E31F52D"/>
        </w:tc>
        <w:tc>
          <w:tcPr>
            <w:tcW w:w="4261" w:type="dxa"/>
          </w:tcPr>
          <w:p w14:paraId="52520B75">
            <w:pPr>
              <w:widowControl/>
              <w:rPr>
                <w:rFonts w:ascii="宋体" w:hAnsi="宋体" w:eastAsia="宋体"/>
                <w:bCs/>
                <w:kern w:val="0"/>
                <w:u w:val="single"/>
              </w:rPr>
            </w:pPr>
            <w:r>
              <w:rPr>
                <w:rFonts w:hint="eastAsia" w:ascii="宋体" w:hAnsi="宋体" w:eastAsia="宋体"/>
                <w:bCs/>
                <w:kern w:val="0"/>
                <w:u w:val="single"/>
              </w:rPr>
              <w:t xml:space="preserve">4.2.8 </w:t>
            </w:r>
            <w:r>
              <w:rPr>
                <w:rFonts w:hint="eastAsia" w:ascii="宋体" w:hAnsi="宋体" w:eastAsia="宋体"/>
                <w:kern w:val="0"/>
                <w:u w:val="single"/>
              </w:rPr>
              <w:t>“平疫结合”区总平面设计应</w:t>
            </w:r>
            <w:r>
              <w:rPr>
                <w:rFonts w:hint="eastAsia" w:ascii="宋体" w:hAnsi="宋体" w:eastAsia="宋体" w:cs="黑体"/>
                <w:kern w:val="0"/>
                <w:u w:val="single"/>
              </w:rPr>
              <w:t>符合下列要求：</w:t>
            </w:r>
          </w:p>
          <w:p w14:paraId="308E71AE">
            <w:pPr>
              <w:widowControl/>
              <w:ind w:firstLine="480" w:firstLineChars="200"/>
              <w:rPr>
                <w:rFonts w:ascii="宋体" w:hAnsi="宋体" w:eastAsia="宋体"/>
                <w:kern w:val="0"/>
                <w:u w:val="single"/>
              </w:rPr>
            </w:pPr>
            <w:r>
              <w:rPr>
                <w:rFonts w:hint="eastAsia" w:ascii="宋体" w:hAnsi="宋体" w:eastAsia="宋体"/>
                <w:kern w:val="0"/>
                <w:u w:val="single"/>
              </w:rPr>
              <w:t>1</w:t>
            </w:r>
            <w:r>
              <w:rPr>
                <w:rFonts w:ascii="宋体" w:hAnsi="宋体" w:eastAsia="宋体"/>
                <w:kern w:val="0"/>
                <w:u w:val="single"/>
              </w:rPr>
              <w:t xml:space="preserve"> </w:t>
            </w:r>
            <w:r>
              <w:rPr>
                <w:rFonts w:hint="eastAsia" w:ascii="宋体" w:hAnsi="宋体" w:eastAsia="宋体"/>
                <w:kern w:val="0"/>
                <w:u w:val="single"/>
              </w:rPr>
              <w:t>应相对独立，同时与医院其他功能区域保持必要的联系。其住院功能区域应与其他建筑保持必要的安全距离，符合《传染病医院建筑设计规范》GB50849的有关规定。</w:t>
            </w:r>
          </w:p>
          <w:p w14:paraId="63ABE272">
            <w:pPr>
              <w:widowControl/>
              <w:ind w:firstLine="480" w:firstLineChars="200"/>
              <w:rPr>
                <w:rFonts w:ascii="宋体" w:hAnsi="宋体" w:eastAsia="宋体"/>
                <w:kern w:val="0"/>
                <w:u w:val="single"/>
              </w:rPr>
            </w:pPr>
            <w:r>
              <w:rPr>
                <w:rFonts w:hint="eastAsia" w:ascii="宋体" w:hAnsi="宋体" w:eastAsia="宋体"/>
                <w:kern w:val="0"/>
                <w:u w:val="single"/>
              </w:rPr>
              <w:t>2</w:t>
            </w:r>
            <w:r>
              <w:rPr>
                <w:rFonts w:ascii="宋体" w:hAnsi="宋体" w:eastAsia="宋体"/>
                <w:kern w:val="0"/>
                <w:u w:val="single"/>
              </w:rPr>
              <w:t xml:space="preserve"> </w:t>
            </w:r>
            <w:r>
              <w:rPr>
                <w:rFonts w:hint="eastAsia" w:ascii="宋体" w:hAnsi="宋体" w:eastAsia="宋体"/>
                <w:kern w:val="0"/>
                <w:u w:val="single"/>
              </w:rPr>
              <w:t>疫情期间应设置独立的出入口。出入口附近应设置救护车辆及人员洗消场地。</w:t>
            </w:r>
          </w:p>
          <w:p w14:paraId="3D97AF37">
            <w:pPr>
              <w:widowControl/>
              <w:ind w:firstLine="424" w:firstLineChars="177"/>
            </w:pPr>
            <w:r>
              <w:rPr>
                <w:rFonts w:hint="eastAsia" w:ascii="宋体" w:hAnsi="宋体" w:eastAsia="宋体"/>
                <w:kern w:val="0"/>
                <w:u w:val="single"/>
              </w:rPr>
              <w:t>3</w:t>
            </w:r>
            <w:r>
              <w:rPr>
                <w:rFonts w:ascii="宋体" w:hAnsi="宋体" w:eastAsia="宋体"/>
                <w:kern w:val="0"/>
                <w:u w:val="single"/>
              </w:rPr>
              <w:t xml:space="preserve"> </w:t>
            </w:r>
            <w:r>
              <w:rPr>
                <w:rFonts w:hint="eastAsia" w:ascii="宋体" w:hAnsi="宋体" w:eastAsia="宋体"/>
                <w:kern w:val="0"/>
                <w:u w:val="single"/>
              </w:rPr>
              <w:t>“平疫结合”区附近宜预留场地及机电系统接口，满足疫情时快速扩展的需要。</w:t>
            </w:r>
          </w:p>
        </w:tc>
      </w:tr>
      <w:tr w14:paraId="4A91E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E471F8F">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5.建筑设计</w:t>
            </w:r>
          </w:p>
        </w:tc>
        <w:tc>
          <w:tcPr>
            <w:tcW w:w="4261" w:type="dxa"/>
            <w:shd w:val="clear" w:color="auto" w:fill="auto"/>
          </w:tcPr>
          <w:p w14:paraId="3992AA09">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5.建筑设计</w:t>
            </w:r>
          </w:p>
        </w:tc>
      </w:tr>
      <w:tr w14:paraId="110DB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shd w:val="clear" w:color="auto" w:fill="auto"/>
          </w:tcPr>
          <w:p w14:paraId="59C323E1">
            <w:pPr>
              <w:jc w:val="center"/>
              <w:rPr>
                <w:rFonts w:asciiTheme="minorEastAsia" w:hAnsiTheme="minorEastAsia"/>
              </w:rPr>
            </w:pPr>
            <w:bookmarkStart w:id="5" w:name="_Toc85880721"/>
            <w:r>
              <w:rPr>
                <w:rFonts w:hint="eastAsia" w:asciiTheme="minorEastAsia" w:hAnsiTheme="minorEastAsia"/>
              </w:rPr>
              <w:t>5.1 一般规定</w:t>
            </w:r>
            <w:bookmarkEnd w:id="5"/>
          </w:p>
        </w:tc>
        <w:tc>
          <w:tcPr>
            <w:tcW w:w="4261" w:type="dxa"/>
            <w:shd w:val="clear" w:color="auto" w:fill="auto"/>
          </w:tcPr>
          <w:p w14:paraId="2E44661A">
            <w:pPr>
              <w:jc w:val="center"/>
              <w:rPr>
                <w:rFonts w:asciiTheme="minorEastAsia" w:hAnsiTheme="minorEastAsia"/>
              </w:rPr>
            </w:pPr>
            <w:r>
              <w:rPr>
                <w:rFonts w:hint="eastAsia" w:asciiTheme="minorEastAsia" w:hAnsiTheme="minorEastAsia"/>
              </w:rPr>
              <w:t>5.1 一般规定</w:t>
            </w:r>
          </w:p>
        </w:tc>
      </w:tr>
      <w:tr w14:paraId="4F52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5D1C5FF">
            <w:r>
              <w:rPr>
                <w:rFonts w:hint="eastAsia" w:asciiTheme="minorEastAsia" w:hAnsiTheme="minorEastAsia"/>
                <w:bCs/>
              </w:rPr>
              <w:t>5.1.7 50％以上的病房日照应符合现行国家标准《民用建筑设计</w:t>
            </w:r>
            <w:r>
              <w:rPr>
                <w:rFonts w:hint="eastAsia" w:asciiTheme="minorEastAsia" w:hAnsiTheme="minorEastAsia"/>
                <w:bCs/>
                <w:bdr w:val="single" w:color="auto" w:sz="4" w:space="0"/>
              </w:rPr>
              <w:t>通则</w:t>
            </w:r>
            <w:r>
              <w:rPr>
                <w:rFonts w:hint="eastAsia" w:asciiTheme="minorEastAsia" w:hAnsiTheme="minorEastAsia"/>
                <w:bCs/>
              </w:rPr>
              <w:t>》GB50352的有关规定。</w:t>
            </w:r>
          </w:p>
        </w:tc>
        <w:tc>
          <w:tcPr>
            <w:tcW w:w="4261" w:type="dxa"/>
            <w:shd w:val="clear" w:color="auto" w:fill="auto"/>
          </w:tcPr>
          <w:p w14:paraId="6BA5B661">
            <w:r>
              <w:rPr>
                <w:rFonts w:hint="eastAsia" w:asciiTheme="minorEastAsia" w:hAnsiTheme="minorEastAsia"/>
                <w:bCs/>
              </w:rPr>
              <w:t>5.1.7 50％以上的病房日照应符合现行国家标准《民用建筑设计</w:t>
            </w:r>
            <w:r>
              <w:rPr>
                <w:rFonts w:hint="eastAsia" w:asciiTheme="minorEastAsia" w:hAnsiTheme="minorEastAsia"/>
                <w:bCs/>
                <w:u w:val="single"/>
              </w:rPr>
              <w:t>统一标准</w:t>
            </w:r>
            <w:r>
              <w:rPr>
                <w:rFonts w:hint="eastAsia" w:asciiTheme="minorEastAsia" w:hAnsiTheme="minorEastAsia"/>
                <w:bCs/>
              </w:rPr>
              <w:t>》GB50352</w:t>
            </w:r>
            <w:r>
              <w:rPr>
                <w:rFonts w:hint="eastAsia" w:asciiTheme="minorEastAsia" w:hAnsiTheme="minorEastAsia"/>
                <w:bCs/>
                <w:u w:val="single"/>
              </w:rPr>
              <w:t>和相关日照标准</w:t>
            </w:r>
            <w:r>
              <w:rPr>
                <w:rFonts w:hint="eastAsia" w:asciiTheme="minorEastAsia" w:hAnsiTheme="minorEastAsia"/>
                <w:bCs/>
              </w:rPr>
              <w:t>的有关规定。</w:t>
            </w:r>
          </w:p>
        </w:tc>
      </w:tr>
      <w:tr w14:paraId="48497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5D07A7B">
            <w:r>
              <w:rPr>
                <w:rFonts w:hint="eastAsia" w:asciiTheme="minorEastAsia" w:hAnsiTheme="minorEastAsia"/>
                <w:bCs/>
              </w:rPr>
              <w:t xml:space="preserve">5.1.11 </w:t>
            </w:r>
            <w:r>
              <w:rPr>
                <w:rFonts w:hint="eastAsia" w:asciiTheme="minorEastAsia" w:hAnsiTheme="minorEastAsia"/>
                <w:bCs/>
                <w:bdr w:val="single" w:color="auto" w:sz="4" w:space="0"/>
              </w:rPr>
              <w:t>病房</w:t>
            </w:r>
            <w:r>
              <w:rPr>
                <w:rFonts w:hint="eastAsia" w:asciiTheme="minorEastAsia" w:hAnsiTheme="minorEastAsia"/>
                <w:bCs/>
              </w:rPr>
              <w:t>的允许噪声级和隔声，应符合现行国家标准《民用建筑隔声设计规范》GB50118的规定。</w:t>
            </w:r>
          </w:p>
        </w:tc>
        <w:tc>
          <w:tcPr>
            <w:tcW w:w="4261" w:type="dxa"/>
            <w:shd w:val="clear" w:color="auto" w:fill="auto"/>
          </w:tcPr>
          <w:p w14:paraId="19F788D8">
            <w:r>
              <w:rPr>
                <w:rFonts w:hint="eastAsia" w:asciiTheme="minorEastAsia" w:hAnsiTheme="minorEastAsia"/>
                <w:bCs/>
              </w:rPr>
              <w:t xml:space="preserve">5.1.11 </w:t>
            </w:r>
            <w:r>
              <w:rPr>
                <w:rFonts w:hint="eastAsia" w:asciiTheme="minorEastAsia" w:hAnsiTheme="minorEastAsia"/>
                <w:bCs/>
                <w:u w:val="single"/>
              </w:rPr>
              <w:t>医院建筑</w:t>
            </w:r>
            <w:r>
              <w:rPr>
                <w:rFonts w:hint="eastAsia" w:asciiTheme="minorEastAsia" w:hAnsiTheme="minorEastAsia"/>
                <w:bCs/>
              </w:rPr>
              <w:t>的允许噪声级和隔声，应符合现行国家标准《民用建筑隔声设计规范》GB50118的规定。</w:t>
            </w:r>
          </w:p>
        </w:tc>
      </w:tr>
      <w:tr w14:paraId="4858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5ECA7E1">
            <w:pPr>
              <w:widowControl/>
              <w:rPr>
                <w:rFonts w:ascii="宋体" w:hAnsi="宋体" w:eastAsia="宋体"/>
                <w:bCs/>
              </w:rPr>
            </w:pPr>
            <w:r>
              <w:rPr>
                <w:rFonts w:hint="eastAsia" w:ascii="宋体" w:hAnsi="宋体" w:eastAsia="宋体"/>
                <w:bCs/>
              </w:rPr>
              <w:t>5.1.13</w:t>
            </w:r>
            <w:r>
              <w:rPr>
                <w:rFonts w:ascii="宋体" w:hAnsi="宋体" w:eastAsia="宋体"/>
                <w:bCs/>
              </w:rPr>
              <w:t xml:space="preserve"> </w:t>
            </w:r>
            <w:r>
              <w:rPr>
                <w:rFonts w:hint="eastAsia" w:ascii="宋体" w:hAnsi="宋体" w:eastAsia="宋体"/>
                <w:bCs/>
              </w:rPr>
              <w:t>卫生间的设置应符合下列要求：</w:t>
            </w:r>
          </w:p>
          <w:p w14:paraId="52F126C6">
            <w:pPr>
              <w:ind w:firstLine="480" w:firstLineChars="200"/>
              <w:rPr>
                <w:rFonts w:ascii="宋体" w:hAnsi="宋体" w:eastAsia="宋体" w:cs="宋体"/>
                <w:bCs/>
              </w:rPr>
            </w:pPr>
            <w:r>
              <w:rPr>
                <w:rFonts w:hint="eastAsia" w:ascii="宋体" w:hAnsi="宋体" w:eastAsia="宋体" w:cs="宋体"/>
                <w:bCs/>
              </w:rPr>
              <w:t>1 患者使用的卫生间隔间的平面尺寸，不应小于1.10m×1.</w:t>
            </w:r>
            <w:r>
              <w:rPr>
                <w:rFonts w:hint="eastAsia" w:ascii="宋体" w:hAnsi="宋体" w:eastAsia="宋体" w:cs="宋体"/>
                <w:bCs/>
                <w:bdr w:val="single" w:color="auto" w:sz="4" w:space="0"/>
              </w:rPr>
              <w:t>4</w:t>
            </w:r>
            <w:r>
              <w:rPr>
                <w:rFonts w:hint="eastAsia" w:ascii="宋体" w:hAnsi="宋体" w:eastAsia="宋体" w:cs="宋体"/>
                <w:bCs/>
              </w:rPr>
              <w:t>0m，门应朝外开，门闩应能里外开启。卫生间隔间内应设输液吊钩。</w:t>
            </w:r>
          </w:p>
          <w:p w14:paraId="08695113">
            <w:pPr>
              <w:ind w:firstLine="480" w:firstLineChars="200"/>
              <w:rPr>
                <w:rFonts w:ascii="宋体" w:hAnsi="宋体" w:eastAsia="宋体" w:cs="宋体"/>
                <w:bCs/>
              </w:rPr>
            </w:pPr>
            <w:r>
              <w:rPr>
                <w:rFonts w:hint="eastAsia" w:ascii="宋体" w:hAnsi="宋体" w:eastAsia="宋体" w:cs="宋体"/>
                <w:bCs/>
              </w:rPr>
              <w:t>2 患者使用的坐式大便器坐圈宜采用不易被污染、易消毒的类型</w:t>
            </w:r>
            <w:r>
              <w:rPr>
                <w:rFonts w:hint="eastAsia" w:ascii="宋体" w:hAnsi="宋体" w:eastAsia="宋体" w:cs="宋体"/>
                <w:bCs/>
                <w:bdr w:val="single" w:color="auto" w:sz="4" w:space="0"/>
              </w:rPr>
              <w:t>，进入蹲式</w:t>
            </w:r>
            <w:r>
              <w:rPr>
                <w:rFonts w:hint="eastAsia" w:ascii="宋体" w:hAnsi="宋体" w:eastAsia="宋体" w:cs="宋体"/>
                <w:bCs/>
              </w:rPr>
              <w:t>大便器隔间不应有高差。大便器旁应装置安全抓杆。</w:t>
            </w:r>
          </w:p>
          <w:p w14:paraId="4B5802E5">
            <w:pPr>
              <w:ind w:firstLine="480" w:firstLineChars="200"/>
              <w:rPr>
                <w:rFonts w:ascii="宋体" w:hAnsi="宋体" w:eastAsia="宋体" w:cs="宋体"/>
                <w:bCs/>
              </w:rPr>
            </w:pPr>
            <w:r>
              <w:rPr>
                <w:rFonts w:hint="eastAsia" w:ascii="宋体" w:hAnsi="宋体" w:eastAsia="宋体" w:cs="宋体"/>
                <w:bCs/>
              </w:rPr>
              <w:t>3</w:t>
            </w:r>
            <w:r>
              <w:rPr>
                <w:rFonts w:ascii="宋体" w:hAnsi="宋体" w:eastAsia="宋体" w:cs="宋体"/>
                <w:bCs/>
              </w:rPr>
              <w:t xml:space="preserve"> </w:t>
            </w:r>
            <w:r>
              <w:rPr>
                <w:rFonts w:hint="eastAsia" w:ascii="宋体" w:hAnsi="宋体" w:eastAsia="宋体" w:cs="宋体"/>
                <w:bCs/>
              </w:rPr>
              <w:t>卫生间</w:t>
            </w:r>
            <w:r>
              <w:rPr>
                <w:rFonts w:hint="eastAsia" w:ascii="宋体" w:hAnsi="宋体" w:eastAsia="宋体" w:cs="宋体"/>
                <w:bCs/>
                <w:bdr w:val="single" w:color="auto" w:sz="4" w:space="0"/>
              </w:rPr>
              <w:t>应设前室</w:t>
            </w:r>
            <w:r>
              <w:rPr>
                <w:rFonts w:hint="eastAsia" w:ascii="宋体" w:hAnsi="宋体" w:eastAsia="宋体" w:cs="宋体"/>
                <w:bCs/>
              </w:rPr>
              <w:t>，并应设非手动开关的洗手设施。</w:t>
            </w:r>
          </w:p>
          <w:p w14:paraId="0A73DF7D">
            <w:pPr>
              <w:ind w:firstLine="480" w:firstLineChars="200"/>
              <w:rPr>
                <w:rFonts w:ascii="宋体" w:hAnsi="宋体" w:eastAsia="宋体" w:cs="宋体"/>
                <w:bCs/>
              </w:rPr>
            </w:pPr>
            <w:r>
              <w:rPr>
                <w:rFonts w:hint="eastAsia" w:ascii="宋体" w:hAnsi="宋体" w:eastAsia="宋体" w:cs="宋体"/>
                <w:bCs/>
              </w:rPr>
              <w:t>4 采用室外卫生间时，宜用连廊与门诊、病房楼相接。</w:t>
            </w:r>
          </w:p>
          <w:p w14:paraId="1A517F27">
            <w:pPr>
              <w:ind w:firstLine="480" w:firstLineChars="200"/>
              <w:rPr>
                <w:rFonts w:ascii="宋体" w:hAnsi="宋体" w:eastAsia="宋体" w:cs="宋体"/>
                <w:bCs/>
              </w:rPr>
            </w:pPr>
            <w:r>
              <w:rPr>
                <w:rFonts w:hint="eastAsia" w:ascii="宋体" w:hAnsi="宋体" w:eastAsia="宋体" w:cs="宋体"/>
                <w:bCs/>
              </w:rPr>
              <w:t xml:space="preserve">5 </w:t>
            </w:r>
            <w:r>
              <w:rPr>
                <w:rFonts w:hint="eastAsia" w:ascii="宋体" w:hAnsi="宋体" w:eastAsia="宋体" w:cs="宋体"/>
                <w:bCs/>
                <w:bdr w:val="single" w:color="auto" w:sz="4" w:space="0"/>
              </w:rPr>
              <w:t>宜</w:t>
            </w:r>
            <w:r>
              <w:rPr>
                <w:rFonts w:hint="eastAsia" w:ascii="宋体" w:hAnsi="宋体" w:eastAsia="宋体" w:cs="宋体"/>
                <w:bCs/>
              </w:rPr>
              <w:t>设置无性别、无障碍</w:t>
            </w:r>
            <w:r>
              <w:rPr>
                <w:rFonts w:hint="eastAsia" w:ascii="宋体" w:hAnsi="宋体" w:eastAsia="宋体" w:cs="宋体"/>
                <w:bCs/>
                <w:bdr w:val="single" w:color="auto" w:sz="4" w:space="0"/>
              </w:rPr>
              <w:t>患者</w:t>
            </w:r>
            <w:r>
              <w:rPr>
                <w:rFonts w:hint="eastAsia" w:ascii="宋体" w:hAnsi="宋体" w:eastAsia="宋体" w:cs="宋体"/>
                <w:bCs/>
              </w:rPr>
              <w:t>专用卫生间。</w:t>
            </w:r>
          </w:p>
          <w:p w14:paraId="57A29C8E">
            <w:pPr>
              <w:ind w:firstLine="480" w:firstLineChars="200"/>
            </w:pPr>
            <w:r>
              <w:rPr>
                <w:rFonts w:hint="eastAsia" w:ascii="宋体" w:hAnsi="宋体" w:eastAsia="宋体" w:cs="宋体"/>
                <w:bCs/>
              </w:rPr>
              <w:t>6 无障碍</w:t>
            </w:r>
            <w:r>
              <w:rPr>
                <w:rFonts w:hint="eastAsia" w:ascii="宋体" w:hAnsi="宋体" w:eastAsia="宋体" w:cs="宋体"/>
                <w:bCs/>
                <w:bdr w:val="single" w:color="auto" w:sz="4" w:space="0"/>
              </w:rPr>
              <w:t>专用</w:t>
            </w:r>
            <w:r>
              <w:rPr>
                <w:rFonts w:hint="eastAsia" w:ascii="宋体" w:hAnsi="宋体" w:eastAsia="宋体" w:cs="宋体"/>
                <w:bCs/>
              </w:rPr>
              <w:t>卫生间和公共卫生间的无障碍设施</w:t>
            </w:r>
            <w:r>
              <w:rPr>
                <w:rFonts w:hint="eastAsia" w:ascii="宋体" w:hAnsi="宋体" w:eastAsia="宋体" w:cs="宋体"/>
                <w:bCs/>
                <w:bdr w:val="single" w:color="auto" w:sz="4" w:space="0"/>
              </w:rPr>
              <w:t>与</w:t>
            </w:r>
            <w:r>
              <w:rPr>
                <w:rFonts w:hint="eastAsia" w:ascii="宋体" w:hAnsi="宋体" w:eastAsia="宋体" w:cs="宋体"/>
                <w:bCs/>
              </w:rPr>
              <w:t>设计，应符合现行标准《无障碍设计规范》GB50763的有关规定。</w:t>
            </w:r>
          </w:p>
        </w:tc>
        <w:tc>
          <w:tcPr>
            <w:tcW w:w="4261" w:type="dxa"/>
            <w:shd w:val="clear" w:color="auto" w:fill="auto"/>
          </w:tcPr>
          <w:p w14:paraId="34EB16EB">
            <w:pPr>
              <w:widowControl/>
              <w:rPr>
                <w:rFonts w:ascii="宋体" w:hAnsi="宋体" w:eastAsia="宋体"/>
                <w:bCs/>
              </w:rPr>
            </w:pPr>
            <w:r>
              <w:rPr>
                <w:rFonts w:hint="eastAsia" w:ascii="宋体" w:hAnsi="宋体" w:eastAsia="宋体"/>
                <w:bCs/>
              </w:rPr>
              <w:t>5.1.13</w:t>
            </w:r>
            <w:r>
              <w:rPr>
                <w:rFonts w:ascii="宋体" w:hAnsi="宋体" w:eastAsia="宋体"/>
                <w:bCs/>
              </w:rPr>
              <w:t xml:space="preserve"> </w:t>
            </w:r>
            <w:r>
              <w:rPr>
                <w:rFonts w:hint="eastAsia" w:ascii="宋体" w:hAnsi="宋体" w:eastAsia="宋体"/>
                <w:bCs/>
              </w:rPr>
              <w:t>卫生间的设置应符合下列要求：</w:t>
            </w:r>
          </w:p>
          <w:p w14:paraId="39DB14FB">
            <w:pPr>
              <w:ind w:firstLine="480" w:firstLineChars="200"/>
              <w:rPr>
                <w:rFonts w:ascii="宋体" w:hAnsi="宋体" w:eastAsia="宋体" w:cs="宋体"/>
                <w:bCs/>
              </w:rPr>
            </w:pPr>
            <w:r>
              <w:rPr>
                <w:rFonts w:hint="eastAsia" w:ascii="宋体" w:hAnsi="宋体" w:eastAsia="宋体" w:cs="宋体"/>
                <w:bCs/>
              </w:rPr>
              <w:t>1 患者使用的卫生间隔间的平面尺寸，不应小于1.10m×1.</w:t>
            </w:r>
            <w:r>
              <w:rPr>
                <w:rFonts w:hint="eastAsia" w:ascii="宋体" w:hAnsi="宋体" w:eastAsia="宋体" w:cs="宋体"/>
                <w:bCs/>
                <w:u w:val="single"/>
              </w:rPr>
              <w:t>5</w:t>
            </w:r>
            <w:r>
              <w:rPr>
                <w:rFonts w:hint="eastAsia" w:ascii="宋体" w:hAnsi="宋体" w:eastAsia="宋体" w:cs="宋体"/>
                <w:bCs/>
              </w:rPr>
              <w:t>0m，门应朝外开，门闩应能里外开启。卫生间隔间内应设输液吊钩。</w:t>
            </w:r>
          </w:p>
          <w:p w14:paraId="24C0B255">
            <w:pPr>
              <w:ind w:firstLine="480" w:firstLineChars="200"/>
              <w:rPr>
                <w:rFonts w:ascii="宋体" w:hAnsi="宋体" w:eastAsia="宋体" w:cs="宋体"/>
                <w:bCs/>
              </w:rPr>
            </w:pPr>
            <w:r>
              <w:rPr>
                <w:rFonts w:hint="eastAsia" w:ascii="宋体" w:hAnsi="宋体" w:eastAsia="宋体" w:cs="宋体"/>
                <w:bCs/>
              </w:rPr>
              <w:t>2 患者使用的坐式大便器坐圈宜采用不易被污染、易消毒的类型</w:t>
            </w:r>
            <w:r>
              <w:rPr>
                <w:rFonts w:hint="eastAsia" w:ascii="宋体" w:hAnsi="宋体" w:eastAsia="宋体" w:cs="宋体"/>
                <w:bCs/>
                <w:u w:val="single"/>
              </w:rPr>
              <w:t>。</w:t>
            </w:r>
            <w:r>
              <w:rPr>
                <w:rFonts w:hint="eastAsia" w:ascii="宋体" w:hAnsi="宋体" w:eastAsia="宋体" w:cs="宋体"/>
                <w:bCs/>
              </w:rPr>
              <w:t>大便器隔间不应有高差。大便器旁应装置安全抓杆。</w:t>
            </w:r>
          </w:p>
          <w:p w14:paraId="0F8635DB">
            <w:pPr>
              <w:ind w:firstLine="480" w:firstLineChars="200"/>
              <w:rPr>
                <w:rFonts w:ascii="宋体" w:hAnsi="宋体" w:eastAsia="宋体" w:cs="宋体"/>
                <w:bCs/>
              </w:rPr>
            </w:pPr>
            <w:r>
              <w:rPr>
                <w:rFonts w:hint="eastAsia" w:ascii="宋体" w:hAnsi="宋体" w:eastAsia="宋体" w:cs="宋体"/>
                <w:bCs/>
              </w:rPr>
              <w:t xml:space="preserve">3 </w:t>
            </w:r>
            <w:r>
              <w:rPr>
                <w:rFonts w:hint="eastAsia" w:ascii="宋体" w:hAnsi="宋体" w:eastAsia="宋体" w:cs="宋体"/>
                <w:bCs/>
                <w:u w:val="single"/>
              </w:rPr>
              <w:t>患者</w:t>
            </w:r>
            <w:r>
              <w:rPr>
                <w:rFonts w:ascii="宋体" w:hAnsi="宋体" w:eastAsia="宋体" w:cs="宋体"/>
                <w:bCs/>
                <w:u w:val="single"/>
              </w:rPr>
              <w:t>使用的</w:t>
            </w:r>
            <w:r>
              <w:rPr>
                <w:rFonts w:hint="eastAsia" w:ascii="宋体" w:hAnsi="宋体" w:eastAsia="宋体" w:cs="宋体"/>
                <w:bCs/>
                <w:u w:val="single"/>
              </w:rPr>
              <w:t>公共</w:t>
            </w:r>
            <w:r>
              <w:rPr>
                <w:rFonts w:hint="eastAsia" w:ascii="宋体" w:hAnsi="宋体" w:eastAsia="宋体" w:cs="宋体"/>
                <w:bCs/>
              </w:rPr>
              <w:t>卫生间</w:t>
            </w:r>
            <w:r>
              <w:rPr>
                <w:rFonts w:hint="eastAsia" w:ascii="宋体" w:hAnsi="宋体" w:eastAsia="宋体" w:cs="宋体"/>
                <w:bCs/>
                <w:u w:val="single"/>
              </w:rPr>
              <w:t>宜设开敞</w:t>
            </w:r>
            <w:r>
              <w:rPr>
                <w:rFonts w:ascii="宋体" w:hAnsi="宋体" w:eastAsia="宋体" w:cs="宋体"/>
                <w:bCs/>
                <w:u w:val="single"/>
              </w:rPr>
              <w:t>式迷宫入口前</w:t>
            </w:r>
            <w:r>
              <w:rPr>
                <w:rFonts w:hint="eastAsia" w:ascii="宋体" w:hAnsi="宋体" w:eastAsia="宋体" w:cs="宋体"/>
                <w:bCs/>
                <w:u w:val="single"/>
              </w:rPr>
              <w:t>区</w:t>
            </w:r>
            <w:r>
              <w:rPr>
                <w:rFonts w:hint="eastAsia" w:ascii="宋体" w:hAnsi="宋体" w:eastAsia="宋体" w:cs="宋体"/>
                <w:bCs/>
              </w:rPr>
              <w:t>，并应设非手动开关的洗手设施。</w:t>
            </w:r>
          </w:p>
          <w:p w14:paraId="2ACCD745">
            <w:pPr>
              <w:ind w:firstLine="480" w:firstLineChars="200"/>
              <w:rPr>
                <w:rFonts w:ascii="宋体" w:hAnsi="宋体" w:eastAsia="宋体" w:cs="宋体"/>
                <w:bCs/>
              </w:rPr>
            </w:pPr>
            <w:r>
              <w:rPr>
                <w:rFonts w:hint="eastAsia" w:ascii="宋体" w:hAnsi="宋体" w:eastAsia="宋体" w:cs="宋体"/>
                <w:bCs/>
              </w:rPr>
              <w:t>4 采用室外卫生间时，宜用连廊与门诊、病房楼相接。</w:t>
            </w:r>
          </w:p>
          <w:p w14:paraId="075119EB">
            <w:pPr>
              <w:ind w:firstLine="480" w:firstLineChars="200"/>
              <w:rPr>
                <w:rFonts w:ascii="宋体" w:hAnsi="宋体" w:eastAsia="宋体" w:cs="宋体"/>
                <w:bCs/>
              </w:rPr>
            </w:pPr>
            <w:r>
              <w:rPr>
                <w:rFonts w:hint="eastAsia" w:ascii="宋体" w:hAnsi="宋体" w:eastAsia="宋体" w:cs="宋体"/>
                <w:bCs/>
              </w:rPr>
              <w:t xml:space="preserve">5 </w:t>
            </w:r>
            <w:r>
              <w:rPr>
                <w:rFonts w:hint="eastAsia" w:ascii="宋体" w:hAnsi="宋体" w:eastAsia="宋体" w:cs="宋体"/>
                <w:bCs/>
                <w:u w:val="single"/>
              </w:rPr>
              <w:t>应</w:t>
            </w:r>
            <w:r>
              <w:rPr>
                <w:rFonts w:hint="eastAsia" w:ascii="宋体" w:hAnsi="宋体" w:eastAsia="宋体" w:cs="宋体"/>
                <w:bCs/>
              </w:rPr>
              <w:t>设置无性别、无障碍专用卫生间。</w:t>
            </w:r>
          </w:p>
          <w:p w14:paraId="145CD4B2">
            <w:pPr>
              <w:ind w:firstLine="480" w:firstLineChars="200"/>
            </w:pPr>
            <w:r>
              <w:rPr>
                <w:rFonts w:hint="eastAsia" w:ascii="宋体" w:hAnsi="宋体" w:eastAsia="宋体" w:cs="宋体"/>
                <w:bCs/>
              </w:rPr>
              <w:t>6 无障碍卫生间和公共卫生间的无障碍设施</w:t>
            </w:r>
            <w:r>
              <w:rPr>
                <w:rFonts w:hint="eastAsia" w:ascii="宋体" w:hAnsi="宋体" w:eastAsia="宋体" w:cs="宋体"/>
                <w:bCs/>
                <w:u w:val="single"/>
              </w:rPr>
              <w:t>的</w:t>
            </w:r>
            <w:r>
              <w:rPr>
                <w:rFonts w:hint="eastAsia" w:ascii="宋体" w:hAnsi="宋体" w:eastAsia="宋体" w:cs="宋体"/>
                <w:bCs/>
              </w:rPr>
              <w:t>设计，应符合现行标准《无障碍设计规范》GB50763的有关规定。</w:t>
            </w:r>
          </w:p>
        </w:tc>
      </w:tr>
      <w:tr w14:paraId="0948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0A360A2"/>
        </w:tc>
        <w:tc>
          <w:tcPr>
            <w:tcW w:w="4261" w:type="dxa"/>
            <w:shd w:val="clear" w:color="auto" w:fill="auto"/>
          </w:tcPr>
          <w:p w14:paraId="26BF05A3">
            <w:r>
              <w:rPr>
                <w:rFonts w:hint="eastAsia" w:cs="黑体" w:asciiTheme="minorEastAsia" w:hAnsiTheme="minorEastAsia"/>
                <w:kern w:val="0"/>
                <w:u w:val="single"/>
              </w:rPr>
              <w:t>5</w:t>
            </w:r>
            <w:r>
              <w:rPr>
                <w:rFonts w:cs="黑体" w:asciiTheme="minorEastAsia" w:hAnsiTheme="minorEastAsia"/>
                <w:kern w:val="0"/>
                <w:u w:val="single"/>
              </w:rPr>
              <w:t>.1.1</w:t>
            </w:r>
            <w:r>
              <w:rPr>
                <w:rFonts w:hint="eastAsia" w:cs="黑体" w:asciiTheme="minorEastAsia" w:hAnsiTheme="minorEastAsia"/>
                <w:kern w:val="0"/>
                <w:u w:val="single"/>
              </w:rPr>
              <w:t>5</w:t>
            </w:r>
            <w:r>
              <w:rPr>
                <w:rFonts w:cs="黑体" w:asciiTheme="minorEastAsia" w:hAnsiTheme="minorEastAsia"/>
                <w:kern w:val="0"/>
                <w:u w:val="single"/>
              </w:rPr>
              <w:t xml:space="preserve"> </w:t>
            </w:r>
            <w:r>
              <w:rPr>
                <w:rFonts w:hint="eastAsia" w:asciiTheme="minorEastAsia" w:hAnsiTheme="minorEastAsia"/>
                <w:bCs/>
                <w:u w:val="single"/>
              </w:rPr>
              <w:t>相关科室宜为大型医技设备预留空间及楼面荷载，预留设备运输路径，路径楼板宜预留设备运输荷载。</w:t>
            </w:r>
          </w:p>
        </w:tc>
      </w:tr>
      <w:tr w14:paraId="3E426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03BA0F8"/>
        </w:tc>
        <w:tc>
          <w:tcPr>
            <w:tcW w:w="4261" w:type="dxa"/>
            <w:shd w:val="clear" w:color="auto" w:fill="auto"/>
          </w:tcPr>
          <w:p w14:paraId="4A9B2E0C">
            <w:r>
              <w:rPr>
                <w:rFonts w:asciiTheme="minorEastAsia" w:hAnsiTheme="minorEastAsia"/>
                <w:bCs/>
                <w:u w:val="single"/>
              </w:rPr>
              <w:t>5.1.16 医院内实验</w:t>
            </w:r>
            <w:r>
              <w:rPr>
                <w:rFonts w:hint="eastAsia" w:asciiTheme="minorEastAsia" w:hAnsiTheme="minorEastAsia"/>
                <w:bCs/>
                <w:u w:val="single"/>
              </w:rPr>
              <w:t>、教学</w:t>
            </w:r>
            <w:r>
              <w:rPr>
                <w:rFonts w:asciiTheme="minorEastAsia" w:hAnsiTheme="minorEastAsia"/>
                <w:bCs/>
                <w:u w:val="single"/>
              </w:rPr>
              <w:t>用房应</w:t>
            </w:r>
            <w:r>
              <w:rPr>
                <w:rFonts w:hint="eastAsia" w:asciiTheme="minorEastAsia" w:hAnsiTheme="minorEastAsia"/>
                <w:bCs/>
                <w:u w:val="single"/>
              </w:rPr>
              <w:t>按实验</w:t>
            </w:r>
            <w:r>
              <w:rPr>
                <w:rFonts w:asciiTheme="minorEastAsia" w:hAnsiTheme="minorEastAsia"/>
                <w:bCs/>
                <w:u w:val="single"/>
              </w:rPr>
              <w:t>用途</w:t>
            </w:r>
            <w:r>
              <w:rPr>
                <w:rFonts w:hint="eastAsia" w:asciiTheme="minorEastAsia" w:hAnsiTheme="minorEastAsia"/>
                <w:bCs/>
                <w:u w:val="single"/>
              </w:rPr>
              <w:t>和教学要求进行</w:t>
            </w:r>
            <w:r>
              <w:rPr>
                <w:rFonts w:asciiTheme="minorEastAsia" w:hAnsiTheme="minorEastAsia"/>
                <w:bCs/>
                <w:u w:val="single"/>
              </w:rPr>
              <w:t>设置，并应符合</w:t>
            </w:r>
            <w:r>
              <w:rPr>
                <w:rFonts w:hint="eastAsia" w:asciiTheme="minorEastAsia" w:hAnsiTheme="minorEastAsia"/>
                <w:bCs/>
                <w:u w:val="single"/>
              </w:rPr>
              <w:t>现行国家</w:t>
            </w:r>
            <w:r>
              <w:rPr>
                <w:rFonts w:asciiTheme="minorEastAsia" w:hAnsiTheme="minorEastAsia"/>
                <w:bCs/>
                <w:u w:val="single"/>
              </w:rPr>
              <w:t>标准</w:t>
            </w:r>
            <w:r>
              <w:rPr>
                <w:rFonts w:hint="eastAsia" w:asciiTheme="minorEastAsia" w:hAnsiTheme="minorEastAsia"/>
                <w:bCs/>
                <w:u w:val="single"/>
              </w:rPr>
              <w:t>、</w:t>
            </w:r>
            <w:r>
              <w:rPr>
                <w:rFonts w:asciiTheme="minorEastAsia" w:hAnsiTheme="minorEastAsia"/>
                <w:bCs/>
                <w:u w:val="single"/>
              </w:rPr>
              <w:t>规范</w:t>
            </w:r>
            <w:r>
              <w:rPr>
                <w:rFonts w:hint="eastAsia" w:asciiTheme="minorEastAsia" w:hAnsiTheme="minorEastAsia"/>
                <w:bCs/>
                <w:u w:val="single"/>
              </w:rPr>
              <w:t>的</w:t>
            </w:r>
            <w:r>
              <w:rPr>
                <w:rFonts w:asciiTheme="minorEastAsia" w:hAnsiTheme="minorEastAsia"/>
                <w:bCs/>
                <w:u w:val="single"/>
              </w:rPr>
              <w:t>相关规定</w:t>
            </w:r>
            <w:r>
              <w:rPr>
                <w:rFonts w:hint="eastAsia" w:asciiTheme="minorEastAsia" w:hAnsiTheme="minorEastAsia"/>
                <w:bCs/>
                <w:u w:val="single"/>
              </w:rPr>
              <w:t>。</w:t>
            </w:r>
          </w:p>
        </w:tc>
      </w:tr>
      <w:tr w14:paraId="28D6C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DF3460D">
            <w:pPr>
              <w:jc w:val="center"/>
              <w:rPr>
                <w:rFonts w:asciiTheme="minorEastAsia" w:hAnsiTheme="minorEastAsia"/>
              </w:rPr>
            </w:pPr>
            <w:bookmarkStart w:id="6" w:name="_Toc85880722"/>
            <w:r>
              <w:rPr>
                <w:rFonts w:hint="eastAsia" w:asciiTheme="minorEastAsia" w:hAnsiTheme="minorEastAsia"/>
              </w:rPr>
              <w:t>5.2 门诊部用房</w:t>
            </w:r>
            <w:bookmarkEnd w:id="6"/>
          </w:p>
        </w:tc>
        <w:tc>
          <w:tcPr>
            <w:tcW w:w="4261" w:type="dxa"/>
            <w:shd w:val="clear" w:color="auto" w:fill="auto"/>
          </w:tcPr>
          <w:p w14:paraId="08D32FA0">
            <w:pPr>
              <w:jc w:val="center"/>
              <w:rPr>
                <w:rFonts w:asciiTheme="minorEastAsia" w:hAnsiTheme="minorEastAsia"/>
              </w:rPr>
            </w:pPr>
            <w:r>
              <w:rPr>
                <w:rFonts w:hint="eastAsia" w:asciiTheme="minorEastAsia" w:hAnsiTheme="minorEastAsia"/>
              </w:rPr>
              <w:t>5.2 门诊部用房</w:t>
            </w:r>
          </w:p>
        </w:tc>
      </w:tr>
      <w:tr w14:paraId="239C3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33173E6">
            <w:r>
              <w:rPr>
                <w:rFonts w:hint="eastAsia" w:asciiTheme="minorEastAsia" w:hAnsiTheme="minorEastAsia"/>
                <w:bCs/>
              </w:rPr>
              <w:t>5.2.1 门诊部应设在靠近医院交通入口处，应与医技用房邻近，并应处理好门诊内各部门的相互关系，流线应合理并</w:t>
            </w:r>
            <w:r>
              <w:rPr>
                <w:rFonts w:hint="eastAsia" w:asciiTheme="minorEastAsia" w:hAnsiTheme="minorEastAsia"/>
                <w:bCs/>
                <w:bdr w:val="single" w:color="auto" w:sz="4" w:space="0"/>
              </w:rPr>
              <w:t>避免院内感染</w:t>
            </w:r>
            <w:r>
              <w:rPr>
                <w:rFonts w:hint="eastAsia" w:asciiTheme="minorEastAsia" w:hAnsiTheme="minorEastAsia"/>
                <w:bCs/>
              </w:rPr>
              <w:t>。</w:t>
            </w:r>
          </w:p>
        </w:tc>
        <w:tc>
          <w:tcPr>
            <w:tcW w:w="4261" w:type="dxa"/>
            <w:shd w:val="clear" w:color="auto" w:fill="auto"/>
          </w:tcPr>
          <w:p w14:paraId="2B3822CF">
            <w:r>
              <w:rPr>
                <w:rFonts w:hint="eastAsia" w:asciiTheme="minorEastAsia" w:hAnsiTheme="minorEastAsia"/>
                <w:bCs/>
              </w:rPr>
              <w:t>5.2.1 门诊部应设在靠近医院交通入口处，应与医技用房邻近，</w:t>
            </w:r>
            <w:r>
              <w:rPr>
                <w:rFonts w:hint="eastAsia" w:asciiTheme="minorEastAsia" w:hAnsiTheme="minorEastAsia"/>
                <w:szCs w:val="21"/>
                <w:u w:val="single"/>
              </w:rPr>
              <w:t>与急诊有便捷的通道，</w:t>
            </w:r>
            <w:r>
              <w:rPr>
                <w:rFonts w:hint="eastAsia" w:asciiTheme="minorEastAsia" w:hAnsiTheme="minorEastAsia"/>
                <w:bCs/>
              </w:rPr>
              <w:t>并应处理好门诊内各部门的相互关系，流线应合理并</w:t>
            </w:r>
            <w:r>
              <w:rPr>
                <w:rFonts w:hint="eastAsia" w:asciiTheme="minorEastAsia" w:hAnsiTheme="minorEastAsia"/>
                <w:szCs w:val="21"/>
                <w:u w:val="single"/>
              </w:rPr>
              <w:t>符合卫生学要求</w:t>
            </w:r>
            <w:r>
              <w:rPr>
                <w:rFonts w:hint="eastAsia" w:asciiTheme="minorEastAsia" w:hAnsiTheme="minorEastAsia"/>
                <w:bCs/>
              </w:rPr>
              <w:t>。</w:t>
            </w:r>
          </w:p>
        </w:tc>
      </w:tr>
      <w:tr w14:paraId="4B6C9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6E23CE5">
            <w:pPr>
              <w:widowControl/>
              <w:rPr>
                <w:rFonts w:ascii="宋体" w:hAnsi="宋体" w:eastAsia="宋体"/>
                <w:kern w:val="0"/>
                <w:szCs w:val="21"/>
                <w:bdr w:val="single" w:color="auto" w:sz="4" w:space="0"/>
              </w:rPr>
            </w:pPr>
            <w:r>
              <w:rPr>
                <w:rFonts w:hint="eastAsia" w:ascii="宋体" w:hAnsi="宋体" w:eastAsia="宋体"/>
                <w:bCs/>
              </w:rPr>
              <w:t xml:space="preserve">5.2.2 </w:t>
            </w:r>
            <w:r>
              <w:rPr>
                <w:rFonts w:hint="eastAsia" w:ascii="宋体" w:hAnsi="宋体" w:eastAsia="宋体"/>
                <w:kern w:val="0"/>
                <w:szCs w:val="21"/>
                <w:bdr w:val="single" w:color="auto" w:sz="4" w:space="0"/>
              </w:rPr>
              <w:t>门诊用房设置应符合下列要求：</w:t>
            </w:r>
          </w:p>
          <w:p w14:paraId="5046D28A">
            <w:pPr>
              <w:widowControl/>
              <w:ind w:firstLine="480" w:firstLineChars="200"/>
              <w:rPr>
                <w:rFonts w:ascii="宋体" w:hAnsi="宋体" w:eastAsia="宋体"/>
                <w:kern w:val="0"/>
                <w:szCs w:val="21"/>
                <w:bdr w:val="single" w:color="auto" w:sz="4" w:space="0"/>
              </w:rPr>
            </w:pPr>
            <w:r>
              <w:rPr>
                <w:rFonts w:hint="eastAsia" w:ascii="宋体" w:hAnsi="宋体" w:eastAsia="宋体"/>
                <w:kern w:val="0"/>
                <w:szCs w:val="21"/>
                <w:bdr w:val="single" w:color="auto" w:sz="4" w:space="0"/>
              </w:rPr>
              <w:t>1 公共部分应设置门厅、挂号、问讯、病历、预检分诊、记账、收费、药房、候诊、采血、检验、输液、注射、门诊办公、卫生间等用房和为患者服务的公共设施；</w:t>
            </w:r>
          </w:p>
          <w:p w14:paraId="4807DE8F">
            <w:pPr>
              <w:widowControl/>
              <w:ind w:firstLine="480" w:firstLineChars="200"/>
              <w:rPr>
                <w:rFonts w:ascii="宋体" w:hAnsi="宋体" w:eastAsia="宋体"/>
                <w:kern w:val="0"/>
                <w:szCs w:val="21"/>
                <w:bdr w:val="single" w:color="auto" w:sz="4" w:space="0"/>
              </w:rPr>
            </w:pPr>
            <w:r>
              <w:rPr>
                <w:rFonts w:hint="eastAsia" w:ascii="宋体" w:hAnsi="宋体" w:eastAsia="宋体"/>
                <w:kern w:val="0"/>
                <w:szCs w:val="21"/>
                <w:bdr w:val="single" w:color="auto" w:sz="4" w:space="0"/>
              </w:rPr>
              <w:t>2 各科应设置诊查室、治疗室、护士站、污洗室等；</w:t>
            </w:r>
          </w:p>
          <w:p w14:paraId="534A05FD">
            <w:pPr>
              <w:widowControl/>
              <w:ind w:firstLine="480" w:firstLineChars="200"/>
            </w:pPr>
            <w:r>
              <w:rPr>
                <w:rFonts w:hint="eastAsia" w:ascii="宋体" w:hAnsi="宋体" w:eastAsia="宋体"/>
                <w:kern w:val="0"/>
                <w:szCs w:val="21"/>
                <w:bdr w:val="single" w:color="auto" w:sz="4" w:space="0"/>
              </w:rPr>
              <w:t>3 可设置换药室、处置室、清创室、X线检查室、功能检查室、值班更衣室、杂物贮藏室、卫生间等。</w:t>
            </w:r>
          </w:p>
        </w:tc>
        <w:tc>
          <w:tcPr>
            <w:tcW w:w="4261" w:type="dxa"/>
            <w:shd w:val="clear" w:color="auto" w:fill="auto"/>
          </w:tcPr>
          <w:p w14:paraId="475792AE">
            <w:pPr>
              <w:widowControl/>
              <w:rPr>
                <w:rFonts w:ascii="宋体" w:hAnsi="宋体" w:eastAsia="宋体"/>
                <w:kern w:val="0"/>
                <w:szCs w:val="21"/>
                <w:bdr w:val="single" w:color="auto" w:sz="4" w:space="0"/>
              </w:rPr>
            </w:pPr>
            <w:r>
              <w:rPr>
                <w:rFonts w:hint="eastAsia" w:ascii="宋体" w:hAnsi="宋体" w:eastAsia="宋体"/>
                <w:bCs/>
              </w:rPr>
              <w:t>5.2.2</w:t>
            </w:r>
            <w:r>
              <w:rPr>
                <w:rFonts w:ascii="宋体" w:hAnsi="宋体" w:eastAsia="宋体"/>
                <w:bCs/>
              </w:rPr>
              <w:t xml:space="preserve"> </w:t>
            </w:r>
            <w:r>
              <w:rPr>
                <w:rFonts w:hint="eastAsia" w:ascii="宋体" w:hAnsi="宋体" w:eastAsia="宋体"/>
                <w:kern w:val="0"/>
                <w:szCs w:val="21"/>
                <w:u w:val="single"/>
              </w:rPr>
              <w:t>门诊空间应包括公共区域、诊疗区域、医辅工作区域、交通区域等。</w:t>
            </w:r>
          </w:p>
          <w:p w14:paraId="28F87F72">
            <w:pPr>
              <w:ind w:firstLine="480" w:firstLineChars="200"/>
              <w:rPr>
                <w:rFonts w:ascii="宋体" w:hAnsi="宋体" w:eastAsia="宋体"/>
                <w:kern w:val="0"/>
                <w:szCs w:val="21"/>
                <w:u w:val="single"/>
              </w:rPr>
            </w:pPr>
            <w:r>
              <w:rPr>
                <w:rFonts w:hint="eastAsia" w:ascii="宋体" w:hAnsi="宋体" w:eastAsia="宋体"/>
                <w:kern w:val="0"/>
                <w:szCs w:val="21"/>
                <w:u w:val="single"/>
              </w:rPr>
              <w:t>1</w:t>
            </w:r>
            <w:r>
              <w:rPr>
                <w:rFonts w:ascii="宋体" w:hAnsi="宋体" w:eastAsia="宋体"/>
                <w:kern w:val="0"/>
                <w:szCs w:val="21"/>
                <w:u w:val="single"/>
              </w:rPr>
              <w:t xml:space="preserve"> </w:t>
            </w:r>
            <w:r>
              <w:rPr>
                <w:rFonts w:hint="eastAsia" w:ascii="宋体" w:hAnsi="宋体" w:eastAsia="宋体"/>
                <w:kern w:val="0"/>
                <w:szCs w:val="21"/>
                <w:u w:val="single"/>
              </w:rPr>
              <w:t>门诊公共区域宜</w:t>
            </w:r>
            <w:r>
              <w:rPr>
                <w:rFonts w:ascii="宋体" w:hAnsi="宋体" w:eastAsia="宋体"/>
                <w:kern w:val="0"/>
                <w:szCs w:val="21"/>
                <w:u w:val="single"/>
              </w:rPr>
              <w:t>设门厅</w:t>
            </w:r>
            <w:r>
              <w:rPr>
                <w:rFonts w:hint="eastAsia" w:ascii="宋体" w:hAnsi="宋体" w:eastAsia="宋体"/>
                <w:kern w:val="0"/>
                <w:szCs w:val="21"/>
                <w:u w:val="single"/>
              </w:rPr>
              <w:t>、中庭、一站式服务、预检分诊、自助服务、</w:t>
            </w:r>
            <w:r>
              <w:rPr>
                <w:rFonts w:ascii="宋体" w:hAnsi="宋体" w:eastAsia="宋体"/>
                <w:kern w:val="0"/>
                <w:szCs w:val="21"/>
                <w:u w:val="single"/>
              </w:rPr>
              <w:t>挂号缴费</w:t>
            </w:r>
            <w:r>
              <w:rPr>
                <w:rFonts w:hint="eastAsia" w:ascii="宋体" w:hAnsi="宋体" w:eastAsia="宋体"/>
                <w:kern w:val="0"/>
                <w:szCs w:val="21"/>
                <w:u w:val="single"/>
              </w:rPr>
              <w:t>、门诊药房、候诊、公共卫生设施、商业服务等用房和为患者服务的其他公共设施。</w:t>
            </w:r>
          </w:p>
          <w:p w14:paraId="603DF3FB">
            <w:pPr>
              <w:ind w:firstLine="480" w:firstLineChars="200"/>
              <w:rPr>
                <w:rFonts w:ascii="宋体" w:hAnsi="宋体" w:eastAsia="宋体"/>
                <w:kern w:val="0"/>
                <w:szCs w:val="21"/>
                <w:u w:val="single"/>
              </w:rPr>
            </w:pPr>
            <w:r>
              <w:rPr>
                <w:rFonts w:hint="eastAsia" w:ascii="宋体" w:hAnsi="宋体" w:eastAsia="宋体"/>
                <w:kern w:val="0"/>
                <w:szCs w:val="21"/>
                <w:u w:val="single"/>
              </w:rPr>
              <w:t>2 门诊诊疗区域</w:t>
            </w:r>
            <w:r>
              <w:rPr>
                <w:rFonts w:ascii="宋体" w:hAnsi="宋体" w:eastAsia="宋体"/>
                <w:kern w:val="0"/>
                <w:szCs w:val="21"/>
                <w:u w:val="single"/>
              </w:rPr>
              <w:t>应设诊查室</w:t>
            </w:r>
            <w:r>
              <w:rPr>
                <w:rFonts w:hint="eastAsia" w:ascii="宋体" w:hAnsi="宋体" w:eastAsia="宋体"/>
                <w:kern w:val="0"/>
                <w:szCs w:val="21"/>
                <w:u w:val="single"/>
              </w:rPr>
              <w:t>、</w:t>
            </w:r>
            <w:r>
              <w:rPr>
                <w:rFonts w:ascii="宋体" w:hAnsi="宋体" w:eastAsia="宋体"/>
                <w:kern w:val="0"/>
                <w:szCs w:val="21"/>
                <w:u w:val="single"/>
              </w:rPr>
              <w:t>治疗室</w:t>
            </w:r>
            <w:r>
              <w:rPr>
                <w:rFonts w:hint="eastAsia" w:ascii="宋体" w:hAnsi="宋体" w:eastAsia="宋体"/>
                <w:kern w:val="0"/>
                <w:szCs w:val="21"/>
                <w:u w:val="single"/>
              </w:rPr>
              <w:t>、专科检查室、</w:t>
            </w:r>
            <w:r>
              <w:rPr>
                <w:rFonts w:ascii="宋体" w:hAnsi="宋体" w:eastAsia="宋体"/>
                <w:kern w:val="0"/>
                <w:szCs w:val="21"/>
                <w:u w:val="single"/>
              </w:rPr>
              <w:t>分诊护士站等</w:t>
            </w:r>
            <w:r>
              <w:rPr>
                <w:rFonts w:hint="eastAsia" w:ascii="宋体" w:hAnsi="宋体" w:eastAsia="宋体"/>
                <w:kern w:val="0"/>
                <w:szCs w:val="21"/>
                <w:u w:val="single"/>
              </w:rPr>
              <w:t>，</w:t>
            </w:r>
            <w:r>
              <w:rPr>
                <w:rFonts w:ascii="宋体" w:hAnsi="宋体" w:eastAsia="宋体"/>
                <w:kern w:val="0"/>
                <w:szCs w:val="21"/>
                <w:u w:val="single"/>
              </w:rPr>
              <w:t>可设专科配套的宣教和康复用房</w:t>
            </w:r>
            <w:r>
              <w:rPr>
                <w:rFonts w:hint="eastAsia" w:ascii="宋体" w:hAnsi="宋体" w:eastAsia="宋体"/>
                <w:kern w:val="0"/>
                <w:szCs w:val="21"/>
                <w:u w:val="single"/>
              </w:rPr>
              <w:t>、</w:t>
            </w:r>
            <w:r>
              <w:rPr>
                <w:rFonts w:ascii="宋体" w:hAnsi="宋体" w:eastAsia="宋体"/>
                <w:kern w:val="0"/>
                <w:szCs w:val="21"/>
                <w:u w:val="single"/>
              </w:rPr>
              <w:t>采血用房</w:t>
            </w:r>
            <w:r>
              <w:rPr>
                <w:rFonts w:hint="eastAsia" w:ascii="宋体" w:hAnsi="宋体" w:eastAsia="宋体"/>
                <w:kern w:val="0"/>
                <w:szCs w:val="21"/>
                <w:u w:val="single"/>
              </w:rPr>
              <w:t>、</w:t>
            </w:r>
            <w:r>
              <w:rPr>
                <w:rFonts w:ascii="宋体" w:hAnsi="宋体" w:eastAsia="宋体"/>
                <w:kern w:val="0"/>
                <w:szCs w:val="21"/>
                <w:u w:val="single"/>
              </w:rPr>
              <w:t>检验用房等</w:t>
            </w:r>
            <w:r>
              <w:rPr>
                <w:rFonts w:hint="eastAsia" w:ascii="宋体" w:hAnsi="宋体" w:eastAsia="宋体"/>
                <w:kern w:val="0"/>
                <w:szCs w:val="21"/>
                <w:u w:val="single"/>
              </w:rPr>
              <w:t>，</w:t>
            </w:r>
            <w:r>
              <w:rPr>
                <w:rFonts w:ascii="宋体" w:hAnsi="宋体" w:eastAsia="宋体"/>
                <w:kern w:val="0"/>
                <w:szCs w:val="21"/>
                <w:u w:val="single"/>
              </w:rPr>
              <w:t>可在门诊设立</w:t>
            </w:r>
            <w:r>
              <w:rPr>
                <w:rFonts w:hint="eastAsia" w:ascii="宋体" w:hAnsi="宋体" w:eastAsia="宋体"/>
                <w:kern w:val="0"/>
                <w:szCs w:val="21"/>
                <w:u w:val="single"/>
              </w:rPr>
              <w:t>治疗中心或日间治疗中心。</w:t>
            </w:r>
          </w:p>
          <w:p w14:paraId="43C5CD88">
            <w:pPr>
              <w:ind w:firstLine="480" w:firstLineChars="200"/>
              <w:rPr>
                <w:rFonts w:ascii="宋体" w:hAnsi="宋体" w:eastAsia="宋体"/>
                <w:kern w:val="0"/>
                <w:szCs w:val="21"/>
                <w:u w:val="single"/>
              </w:rPr>
            </w:pPr>
            <w:r>
              <w:rPr>
                <w:rFonts w:hint="eastAsia" w:ascii="宋体" w:hAnsi="宋体" w:eastAsia="宋体"/>
                <w:kern w:val="0"/>
                <w:szCs w:val="21"/>
                <w:u w:val="single"/>
              </w:rPr>
              <w:t>3 门诊</w:t>
            </w:r>
            <w:r>
              <w:rPr>
                <w:rFonts w:ascii="宋体" w:hAnsi="宋体" w:eastAsia="宋体"/>
                <w:kern w:val="0"/>
                <w:szCs w:val="21"/>
                <w:u w:val="single"/>
              </w:rPr>
              <w:t>医辅工作</w:t>
            </w:r>
            <w:r>
              <w:rPr>
                <w:rFonts w:hint="eastAsia" w:ascii="宋体" w:hAnsi="宋体" w:eastAsia="宋体"/>
                <w:kern w:val="0"/>
                <w:szCs w:val="21"/>
                <w:u w:val="single"/>
              </w:rPr>
              <w:t>区域</w:t>
            </w:r>
            <w:r>
              <w:rPr>
                <w:rFonts w:ascii="宋体" w:hAnsi="宋体" w:eastAsia="宋体"/>
                <w:kern w:val="0"/>
                <w:szCs w:val="21"/>
                <w:u w:val="single"/>
              </w:rPr>
              <w:t>宜设医生办公室</w:t>
            </w:r>
            <w:r>
              <w:rPr>
                <w:rFonts w:hint="eastAsia" w:ascii="宋体" w:hAnsi="宋体" w:eastAsia="宋体"/>
                <w:kern w:val="0"/>
                <w:szCs w:val="21"/>
                <w:u w:val="single"/>
              </w:rPr>
              <w:t>、</w:t>
            </w:r>
            <w:r>
              <w:rPr>
                <w:rFonts w:ascii="宋体" w:hAnsi="宋体" w:eastAsia="宋体"/>
                <w:kern w:val="0"/>
                <w:szCs w:val="21"/>
                <w:u w:val="single"/>
              </w:rPr>
              <w:t>会议示教室</w:t>
            </w:r>
            <w:r>
              <w:rPr>
                <w:rFonts w:hint="eastAsia" w:ascii="宋体" w:hAnsi="宋体" w:eastAsia="宋体"/>
                <w:kern w:val="0"/>
                <w:szCs w:val="21"/>
                <w:u w:val="single"/>
              </w:rPr>
              <w:t>、</w:t>
            </w:r>
            <w:r>
              <w:rPr>
                <w:rFonts w:ascii="宋体" w:hAnsi="宋体" w:eastAsia="宋体"/>
                <w:kern w:val="0"/>
                <w:szCs w:val="21"/>
                <w:u w:val="single"/>
              </w:rPr>
              <w:t>医护更衣室</w:t>
            </w:r>
            <w:r>
              <w:rPr>
                <w:rFonts w:hint="eastAsia" w:ascii="宋体" w:hAnsi="宋体" w:eastAsia="宋体"/>
                <w:kern w:val="0"/>
                <w:szCs w:val="21"/>
                <w:u w:val="single"/>
              </w:rPr>
              <w:t>、</w:t>
            </w:r>
            <w:r>
              <w:rPr>
                <w:rFonts w:ascii="宋体" w:hAnsi="宋体" w:eastAsia="宋体"/>
                <w:kern w:val="0"/>
                <w:szCs w:val="21"/>
                <w:u w:val="single"/>
              </w:rPr>
              <w:t>医护卫生间</w:t>
            </w:r>
            <w:r>
              <w:rPr>
                <w:rFonts w:hint="eastAsia" w:ascii="宋体" w:hAnsi="宋体" w:eastAsia="宋体"/>
                <w:kern w:val="0"/>
                <w:szCs w:val="21"/>
                <w:u w:val="single"/>
              </w:rPr>
              <w:t>、</w:t>
            </w:r>
            <w:r>
              <w:rPr>
                <w:rFonts w:ascii="宋体" w:hAnsi="宋体" w:eastAsia="宋体"/>
                <w:kern w:val="0"/>
                <w:szCs w:val="21"/>
                <w:u w:val="single"/>
              </w:rPr>
              <w:t>医护休息室</w:t>
            </w:r>
            <w:r>
              <w:rPr>
                <w:rFonts w:hint="eastAsia" w:ascii="宋体" w:hAnsi="宋体" w:eastAsia="宋体"/>
                <w:kern w:val="0"/>
                <w:szCs w:val="21"/>
                <w:u w:val="single"/>
              </w:rPr>
              <w:t>、仓储用房、</w:t>
            </w:r>
            <w:r>
              <w:rPr>
                <w:rFonts w:ascii="宋体" w:hAnsi="宋体" w:eastAsia="宋体"/>
                <w:kern w:val="0"/>
                <w:szCs w:val="21"/>
                <w:u w:val="single"/>
              </w:rPr>
              <w:t>污洗污物间等</w:t>
            </w:r>
            <w:r>
              <w:rPr>
                <w:rFonts w:hint="eastAsia" w:ascii="宋体" w:hAnsi="宋体" w:eastAsia="宋体"/>
                <w:kern w:val="0"/>
                <w:szCs w:val="21"/>
                <w:u w:val="single"/>
              </w:rPr>
              <w:t>。</w:t>
            </w:r>
          </w:p>
          <w:p w14:paraId="166AC315">
            <w:pPr>
              <w:ind w:firstLine="480" w:firstLineChars="200"/>
              <w:rPr>
                <w:rFonts w:ascii="宋体" w:hAnsi="宋体" w:eastAsia="宋体"/>
                <w:kern w:val="0"/>
                <w:szCs w:val="21"/>
                <w:u w:val="single"/>
              </w:rPr>
            </w:pPr>
            <w:r>
              <w:rPr>
                <w:rFonts w:hint="eastAsia" w:ascii="宋体" w:hAnsi="宋体" w:eastAsia="宋体"/>
                <w:kern w:val="0"/>
                <w:szCs w:val="21"/>
                <w:u w:val="single"/>
              </w:rPr>
              <w:t>4</w:t>
            </w:r>
            <w:r>
              <w:rPr>
                <w:rFonts w:ascii="宋体" w:hAnsi="宋体" w:eastAsia="宋体"/>
                <w:kern w:val="0"/>
                <w:szCs w:val="21"/>
                <w:u w:val="single"/>
              </w:rPr>
              <w:t xml:space="preserve"> </w:t>
            </w:r>
            <w:r>
              <w:rPr>
                <w:rFonts w:hint="eastAsia" w:ascii="宋体" w:hAnsi="宋体" w:eastAsia="宋体"/>
                <w:kern w:val="0"/>
                <w:szCs w:val="21"/>
                <w:u w:val="single"/>
              </w:rPr>
              <w:t>交通区域包含门诊医疗街、医技医疗街、电梯厅、诊区走廊、楼梯间及前室等。</w:t>
            </w:r>
          </w:p>
          <w:p w14:paraId="59D49533">
            <w:pPr>
              <w:ind w:firstLine="424" w:firstLineChars="177"/>
            </w:pPr>
            <w:r>
              <w:rPr>
                <w:rFonts w:ascii="宋体" w:hAnsi="宋体" w:eastAsia="宋体" w:cs="宋体"/>
                <w:bCs/>
                <w:u w:val="single"/>
              </w:rPr>
              <w:t>5</w:t>
            </w:r>
            <w:r>
              <w:rPr>
                <w:rFonts w:hint="eastAsia" w:ascii="宋体" w:hAnsi="宋体" w:eastAsia="宋体" w:cs="宋体"/>
                <w:bCs/>
                <w:u w:val="single"/>
              </w:rPr>
              <w:t xml:space="preserve"> 预检分诊功能与设施应设于门诊入口处附近，便于合理指导就诊、分流和特殊患者转运。</w:t>
            </w:r>
          </w:p>
        </w:tc>
      </w:tr>
      <w:tr w14:paraId="7D6FD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7799521">
            <w:pPr>
              <w:widowControl/>
              <w:rPr>
                <w:rFonts w:ascii="宋体" w:hAnsi="宋体" w:eastAsia="宋体"/>
                <w:bCs/>
              </w:rPr>
            </w:pPr>
            <w:r>
              <w:rPr>
                <w:rFonts w:hint="eastAsia" w:ascii="宋体" w:hAnsi="宋体" w:eastAsia="宋体"/>
                <w:bCs/>
              </w:rPr>
              <w:t>5.2.3 候诊</w:t>
            </w:r>
            <w:r>
              <w:rPr>
                <w:rFonts w:hint="eastAsia" w:ascii="宋体" w:hAnsi="宋体" w:eastAsia="宋体"/>
                <w:bCs/>
                <w:bdr w:val="single" w:color="auto" w:sz="4" w:space="0"/>
              </w:rPr>
              <w:t>用房</w:t>
            </w:r>
            <w:r>
              <w:rPr>
                <w:rFonts w:hint="eastAsia" w:ascii="宋体" w:hAnsi="宋体" w:eastAsia="宋体"/>
                <w:bCs/>
              </w:rPr>
              <w:t>设置应符合下列要求：</w:t>
            </w:r>
          </w:p>
          <w:p w14:paraId="0E5B142B">
            <w:pPr>
              <w:ind w:firstLine="480" w:firstLineChars="200"/>
              <w:rPr>
                <w:rFonts w:ascii="宋体" w:hAnsi="宋体" w:eastAsia="宋体" w:cs="宋体"/>
                <w:bCs/>
              </w:rPr>
            </w:pPr>
            <w:r>
              <w:rPr>
                <w:rFonts w:hint="eastAsia" w:ascii="宋体" w:hAnsi="宋体" w:eastAsia="宋体" w:cs="宋体"/>
                <w:bCs/>
              </w:rPr>
              <w:t>1 门诊宜分科候诊，门诊量小</w:t>
            </w:r>
            <w:r>
              <w:rPr>
                <w:rFonts w:hint="eastAsia" w:ascii="宋体" w:hAnsi="宋体" w:eastAsia="宋体" w:cs="宋体"/>
                <w:bCs/>
                <w:bdr w:val="single" w:color="auto" w:sz="4" w:space="0"/>
              </w:rPr>
              <w:t>时可合科候诊</w:t>
            </w:r>
            <w:r>
              <w:rPr>
                <w:rFonts w:hint="eastAsia" w:ascii="宋体" w:hAnsi="宋体" w:eastAsia="宋体" w:cs="宋体"/>
                <w:bCs/>
              </w:rPr>
              <w:t>；</w:t>
            </w:r>
          </w:p>
          <w:p w14:paraId="57217A54">
            <w:pPr>
              <w:ind w:firstLine="480" w:firstLineChars="200"/>
              <w:rPr>
                <w:rFonts w:ascii="宋体" w:hAnsi="宋体" w:eastAsia="宋体" w:cs="宋体"/>
                <w:bCs/>
              </w:rPr>
            </w:pPr>
            <w:r>
              <w:rPr>
                <w:rFonts w:hint="eastAsia" w:ascii="宋体" w:hAnsi="宋体" w:eastAsia="宋体" w:cs="宋体"/>
                <w:bCs/>
              </w:rPr>
              <w:t>2 利用走道单侧候诊时，走道净宽不应小于2.40m，两侧候诊时，走道净宽不应小于3.00m；</w:t>
            </w:r>
          </w:p>
          <w:p w14:paraId="529F7BEA">
            <w:pPr>
              <w:ind w:firstLine="480" w:firstLineChars="200"/>
            </w:pPr>
            <w:r>
              <w:rPr>
                <w:rFonts w:hint="eastAsia" w:ascii="宋体" w:hAnsi="宋体" w:eastAsia="宋体" w:cs="宋体"/>
                <w:bCs/>
              </w:rPr>
              <w:t>3 可采用</w:t>
            </w:r>
            <w:r>
              <w:rPr>
                <w:rFonts w:hint="eastAsia" w:ascii="宋体" w:hAnsi="宋体" w:eastAsia="宋体" w:cs="宋体"/>
                <w:bCs/>
                <w:bdr w:val="single" w:color="auto" w:sz="4" w:space="0"/>
              </w:rPr>
              <w:t>医患通道分设、电子叫号、预约挂号</w:t>
            </w:r>
            <w:r>
              <w:rPr>
                <w:rFonts w:hint="eastAsia" w:ascii="宋体" w:hAnsi="宋体" w:eastAsia="宋体" w:cs="宋体"/>
                <w:bCs/>
              </w:rPr>
              <w:t>、分层挂号收费等</w:t>
            </w:r>
            <w:r>
              <w:rPr>
                <w:rFonts w:hint="eastAsia" w:ascii="宋体" w:hAnsi="宋体" w:eastAsia="宋体" w:cs="宋体"/>
                <w:bCs/>
                <w:bdr w:val="single" w:color="auto" w:sz="4" w:space="0"/>
              </w:rPr>
              <w:t>方式</w:t>
            </w:r>
            <w:r>
              <w:rPr>
                <w:rFonts w:hint="eastAsia" w:ascii="宋体" w:hAnsi="宋体" w:eastAsia="宋体" w:cs="宋体"/>
                <w:bCs/>
              </w:rPr>
              <w:t>。</w:t>
            </w:r>
          </w:p>
        </w:tc>
        <w:tc>
          <w:tcPr>
            <w:tcW w:w="4261" w:type="dxa"/>
            <w:shd w:val="clear" w:color="auto" w:fill="auto"/>
          </w:tcPr>
          <w:p w14:paraId="541CB6EE">
            <w:pPr>
              <w:widowControl/>
              <w:rPr>
                <w:rFonts w:ascii="宋体" w:hAnsi="宋体" w:eastAsia="宋体"/>
                <w:bCs/>
              </w:rPr>
            </w:pPr>
            <w:r>
              <w:rPr>
                <w:rFonts w:hint="eastAsia" w:ascii="宋体" w:hAnsi="宋体" w:eastAsia="宋体"/>
                <w:bCs/>
              </w:rPr>
              <w:t>5.2.3 候诊</w:t>
            </w:r>
            <w:r>
              <w:rPr>
                <w:rFonts w:hint="eastAsia" w:ascii="宋体" w:hAnsi="宋体" w:eastAsia="宋体"/>
                <w:kern w:val="0"/>
                <w:szCs w:val="21"/>
                <w:u w:val="single"/>
              </w:rPr>
              <w:t>区域</w:t>
            </w:r>
            <w:r>
              <w:rPr>
                <w:rFonts w:hint="eastAsia" w:ascii="宋体" w:hAnsi="宋体" w:eastAsia="宋体"/>
                <w:bCs/>
              </w:rPr>
              <w:t>设置应符合下列要求：</w:t>
            </w:r>
          </w:p>
          <w:p w14:paraId="6CA2B4E1">
            <w:pPr>
              <w:ind w:firstLine="480" w:firstLineChars="200"/>
              <w:rPr>
                <w:rFonts w:ascii="宋体" w:hAnsi="宋体" w:eastAsia="宋体" w:cs="宋体"/>
                <w:bCs/>
              </w:rPr>
            </w:pPr>
            <w:r>
              <w:rPr>
                <w:rFonts w:hint="eastAsia" w:ascii="宋体" w:hAnsi="宋体" w:eastAsia="宋体" w:cs="宋体"/>
                <w:bCs/>
              </w:rPr>
              <w:t>1 门诊宜分科候诊，</w:t>
            </w:r>
            <w:r>
              <w:rPr>
                <w:rFonts w:hint="eastAsia" w:ascii="宋体" w:hAnsi="宋体" w:eastAsia="宋体" w:cs="宋体"/>
                <w:bCs/>
                <w:u w:val="single"/>
              </w:rPr>
              <w:t>并设立分诊护士站，</w:t>
            </w:r>
            <w:r>
              <w:rPr>
                <w:rFonts w:hint="eastAsia" w:ascii="宋体" w:hAnsi="宋体" w:eastAsia="宋体" w:cs="宋体"/>
                <w:bCs/>
              </w:rPr>
              <w:t>门诊量小</w:t>
            </w:r>
            <w:r>
              <w:rPr>
                <w:rFonts w:hint="eastAsia" w:ascii="宋体" w:hAnsi="宋体" w:eastAsia="宋体" w:cs="宋体"/>
                <w:bCs/>
                <w:u w:val="single"/>
              </w:rPr>
              <w:t>的科室可多科合并候诊</w:t>
            </w:r>
            <w:r>
              <w:rPr>
                <w:rFonts w:hint="eastAsia" w:ascii="宋体" w:hAnsi="宋体" w:eastAsia="宋体" w:cs="宋体"/>
                <w:bCs/>
              </w:rPr>
              <w:t>；</w:t>
            </w:r>
          </w:p>
          <w:p w14:paraId="39021593">
            <w:pPr>
              <w:ind w:firstLine="480" w:firstLineChars="200"/>
              <w:rPr>
                <w:rFonts w:ascii="宋体" w:hAnsi="宋体" w:eastAsia="宋体" w:cs="宋体"/>
                <w:bCs/>
              </w:rPr>
            </w:pPr>
            <w:r>
              <w:rPr>
                <w:rFonts w:hint="eastAsia" w:ascii="宋体" w:hAnsi="宋体" w:eastAsia="宋体" w:cs="宋体"/>
                <w:bCs/>
              </w:rPr>
              <w:t>2 利用走道单侧候诊时，走道净宽不应小于2.40m，两侧候诊时，走道净宽不应小于3.00m；</w:t>
            </w:r>
          </w:p>
          <w:p w14:paraId="4B61AE7D">
            <w:pPr>
              <w:ind w:firstLine="480" w:firstLineChars="200"/>
            </w:pPr>
            <w:r>
              <w:rPr>
                <w:rFonts w:hint="eastAsia" w:ascii="宋体" w:hAnsi="宋体" w:eastAsia="宋体" w:cs="宋体"/>
                <w:bCs/>
              </w:rPr>
              <w:t>3 可采用</w:t>
            </w:r>
            <w:r>
              <w:rPr>
                <w:rFonts w:hint="eastAsia" w:ascii="宋体" w:hAnsi="宋体" w:eastAsia="宋体" w:cs="宋体"/>
                <w:bCs/>
                <w:u w:val="single"/>
              </w:rPr>
              <w:t>自助服务、分诊排队</w:t>
            </w:r>
            <w:r>
              <w:rPr>
                <w:rFonts w:hint="eastAsia" w:ascii="宋体" w:hAnsi="宋体" w:eastAsia="宋体" w:cs="宋体"/>
                <w:bCs/>
              </w:rPr>
              <w:t>、分层挂号收费等</w:t>
            </w:r>
            <w:r>
              <w:rPr>
                <w:rFonts w:hint="eastAsia" w:ascii="宋体" w:hAnsi="宋体" w:eastAsia="宋体" w:cs="宋体"/>
                <w:bCs/>
                <w:u w:val="single"/>
              </w:rPr>
              <w:t>进行服务导流与分流</w:t>
            </w:r>
            <w:r>
              <w:rPr>
                <w:rFonts w:hint="eastAsia" w:ascii="宋体" w:hAnsi="宋体" w:eastAsia="宋体" w:cs="宋体"/>
                <w:bCs/>
              </w:rPr>
              <w:t>。</w:t>
            </w:r>
          </w:p>
        </w:tc>
      </w:tr>
      <w:tr w14:paraId="33669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0B7638A"/>
        </w:tc>
        <w:tc>
          <w:tcPr>
            <w:tcW w:w="4261" w:type="dxa"/>
            <w:shd w:val="clear" w:color="auto" w:fill="auto"/>
          </w:tcPr>
          <w:p w14:paraId="5568E60E">
            <w:pPr>
              <w:rPr>
                <w:rFonts w:ascii="宋体" w:hAnsi="宋体" w:eastAsia="宋体" w:cs="宋体"/>
                <w:bCs/>
                <w:u w:val="single"/>
              </w:rPr>
            </w:pPr>
            <w:r>
              <w:rPr>
                <w:rFonts w:hint="eastAsia" w:ascii="宋体" w:hAnsi="宋体" w:eastAsia="宋体" w:cs="宋体"/>
                <w:bCs/>
                <w:u w:val="single"/>
              </w:rPr>
              <w:t>5.2.3</w:t>
            </w:r>
            <w:r>
              <w:rPr>
                <w:rFonts w:ascii="宋体" w:hAnsi="宋体" w:eastAsia="宋体" w:cs="宋体"/>
                <w:bCs/>
                <w:u w:val="single"/>
              </w:rPr>
              <w:t xml:space="preserve">A </w:t>
            </w:r>
            <w:r>
              <w:rPr>
                <w:rFonts w:hint="eastAsia" w:ascii="宋体" w:hAnsi="宋体" w:eastAsia="宋体" w:cs="宋体"/>
                <w:bCs/>
                <w:u w:val="single"/>
              </w:rPr>
              <w:t>门诊基本诊疗单元应符合下列要求：</w:t>
            </w:r>
          </w:p>
          <w:p w14:paraId="344E8DE3">
            <w:pPr>
              <w:ind w:firstLine="480" w:firstLineChars="200"/>
              <w:rPr>
                <w:rFonts w:ascii="宋体" w:hAnsi="宋体" w:eastAsia="宋体" w:cs="宋体"/>
                <w:bCs/>
                <w:u w:val="single"/>
              </w:rPr>
            </w:pPr>
            <w:r>
              <w:rPr>
                <w:rFonts w:hint="eastAsia" w:ascii="宋体" w:hAnsi="宋体" w:eastAsia="宋体" w:cs="宋体"/>
                <w:bCs/>
                <w:u w:val="single"/>
              </w:rPr>
              <w:t>1</w:t>
            </w:r>
            <w:r>
              <w:rPr>
                <w:rFonts w:ascii="宋体" w:hAnsi="宋体" w:eastAsia="宋体" w:cs="宋体"/>
                <w:bCs/>
                <w:u w:val="single"/>
              </w:rPr>
              <w:t xml:space="preserve"> </w:t>
            </w:r>
            <w:r>
              <w:rPr>
                <w:rFonts w:hint="eastAsia" w:ascii="宋体" w:hAnsi="宋体" w:eastAsia="宋体" w:cs="宋体"/>
                <w:bCs/>
                <w:u w:val="single"/>
              </w:rPr>
              <w:t>门诊科室应独立成区，满足科室功能设置要求，科室内应有相关诊室、检查、治疗、康复等用房。</w:t>
            </w:r>
          </w:p>
          <w:p w14:paraId="44A61F65">
            <w:pPr>
              <w:ind w:firstLine="480" w:firstLineChars="200"/>
              <w:rPr>
                <w:rFonts w:ascii="宋体" w:hAnsi="宋体" w:eastAsia="宋体" w:cs="宋体"/>
                <w:bCs/>
                <w:u w:val="single"/>
              </w:rPr>
            </w:pPr>
            <w:r>
              <w:rPr>
                <w:rFonts w:hint="eastAsia" w:ascii="宋体" w:hAnsi="宋体" w:eastAsia="宋体" w:cs="宋体"/>
                <w:bCs/>
                <w:u w:val="single"/>
              </w:rPr>
              <w:t>2</w:t>
            </w:r>
            <w:r>
              <w:rPr>
                <w:rFonts w:ascii="宋体" w:hAnsi="宋体" w:eastAsia="宋体" w:cs="宋体"/>
                <w:bCs/>
                <w:u w:val="single"/>
              </w:rPr>
              <w:t xml:space="preserve"> </w:t>
            </w:r>
            <w:r>
              <w:rPr>
                <w:rFonts w:hint="eastAsia" w:ascii="宋体" w:hAnsi="宋体" w:eastAsia="宋体" w:cs="宋体"/>
                <w:bCs/>
                <w:u w:val="single"/>
              </w:rPr>
              <w:t>宜采用模块化、尽端式设计，单科或多科合并一个门诊诊疗模块；不同诊疗单元之间不宜穿越；</w:t>
            </w:r>
          </w:p>
          <w:p w14:paraId="340F4F0B">
            <w:pPr>
              <w:ind w:firstLine="480" w:firstLineChars="200"/>
              <w:rPr>
                <w:rFonts w:ascii="宋体" w:hAnsi="宋体" w:eastAsia="宋体" w:cs="宋体"/>
                <w:bCs/>
                <w:u w:val="single"/>
              </w:rPr>
            </w:pPr>
            <w:r>
              <w:rPr>
                <w:rFonts w:ascii="宋体" w:hAnsi="宋体" w:eastAsia="宋体" w:cs="宋体"/>
                <w:bCs/>
                <w:u w:val="single"/>
              </w:rPr>
              <w:t>3</w:t>
            </w:r>
            <w:r>
              <w:rPr>
                <w:rFonts w:hint="eastAsia" w:ascii="宋体" w:hAnsi="宋体" w:eastAsia="宋体" w:cs="宋体"/>
                <w:bCs/>
                <w:u w:val="single"/>
              </w:rPr>
              <w:t xml:space="preserve"> 宜考虑多学科会诊MDT门诊、虚拟化线上诊疗等的不同组织形式和布置。</w:t>
            </w:r>
          </w:p>
          <w:p w14:paraId="46728BB6">
            <w:pPr>
              <w:ind w:firstLine="480" w:firstLineChars="200"/>
            </w:pPr>
            <w:r>
              <w:rPr>
                <w:rFonts w:ascii="宋体" w:hAnsi="宋体" w:eastAsia="宋体" w:cs="宋体"/>
                <w:bCs/>
                <w:u w:val="single"/>
              </w:rPr>
              <w:t xml:space="preserve">4 </w:t>
            </w:r>
            <w:r>
              <w:rPr>
                <w:rFonts w:hint="eastAsia" w:ascii="宋体" w:hAnsi="宋体" w:eastAsia="宋体" w:cs="宋体"/>
                <w:bCs/>
                <w:u w:val="single"/>
              </w:rPr>
              <w:t>诊室宜按一医一患一诊室布置。</w:t>
            </w:r>
          </w:p>
        </w:tc>
      </w:tr>
      <w:tr w14:paraId="0839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7124B40">
            <w:pPr>
              <w:widowControl/>
              <w:rPr>
                <w:rFonts w:ascii="宋体" w:hAnsi="宋体" w:eastAsia="宋体"/>
                <w:bCs/>
              </w:rPr>
            </w:pPr>
            <w:r>
              <w:rPr>
                <w:rFonts w:hint="eastAsia" w:ascii="宋体" w:hAnsi="宋体" w:eastAsia="宋体"/>
                <w:bCs/>
              </w:rPr>
              <w:t>5.2.4 诊查用房设置应符合下列要求：</w:t>
            </w:r>
          </w:p>
          <w:p w14:paraId="03DDA800">
            <w:pPr>
              <w:ind w:firstLine="480" w:firstLineChars="200"/>
              <w:rPr>
                <w:rFonts w:ascii="宋体" w:hAnsi="宋体" w:eastAsia="宋体" w:cs="宋体"/>
                <w:bCs/>
              </w:rPr>
            </w:pPr>
            <w:r>
              <w:rPr>
                <w:rFonts w:hint="eastAsia" w:ascii="宋体" w:hAnsi="宋体" w:eastAsia="宋体" w:cs="宋体"/>
                <w:bCs/>
              </w:rPr>
              <w:t>1 双人诊查室的开间净尺寸不应小于3.00m，使用面积不应小于12.00m²；</w:t>
            </w:r>
          </w:p>
          <w:p w14:paraId="68C1542E">
            <w:pPr>
              <w:ind w:firstLine="480" w:firstLineChars="200"/>
            </w:pPr>
            <w:r>
              <w:rPr>
                <w:rFonts w:hint="eastAsia" w:ascii="宋体" w:hAnsi="宋体" w:eastAsia="宋体" w:cs="宋体"/>
                <w:bCs/>
              </w:rPr>
              <w:t>2 单人诊查室的开间净尺寸不应小于2.50m，使用面积不应小于8.00m²。</w:t>
            </w:r>
          </w:p>
        </w:tc>
        <w:tc>
          <w:tcPr>
            <w:tcW w:w="4261" w:type="dxa"/>
            <w:shd w:val="clear" w:color="auto" w:fill="auto"/>
          </w:tcPr>
          <w:p w14:paraId="0F2EFD91">
            <w:pPr>
              <w:widowControl/>
              <w:rPr>
                <w:rFonts w:ascii="宋体" w:hAnsi="宋体" w:eastAsia="宋体"/>
                <w:bCs/>
              </w:rPr>
            </w:pPr>
            <w:r>
              <w:rPr>
                <w:rFonts w:hint="eastAsia" w:ascii="宋体" w:hAnsi="宋体" w:eastAsia="宋体"/>
                <w:bCs/>
              </w:rPr>
              <w:t xml:space="preserve">5.2.4 </w:t>
            </w:r>
            <w:r>
              <w:rPr>
                <w:rFonts w:hint="eastAsia" w:ascii="宋体" w:hAnsi="宋体" w:eastAsia="宋体"/>
                <w:kern w:val="0"/>
                <w:szCs w:val="21"/>
                <w:u w:val="single"/>
              </w:rPr>
              <w:t>常规</w:t>
            </w:r>
            <w:r>
              <w:rPr>
                <w:rFonts w:hint="eastAsia" w:ascii="宋体" w:hAnsi="宋体" w:eastAsia="宋体"/>
                <w:bCs/>
              </w:rPr>
              <w:t>诊查用房设置应符合下列要求：</w:t>
            </w:r>
          </w:p>
          <w:p w14:paraId="18C26983">
            <w:pPr>
              <w:ind w:firstLine="480" w:firstLineChars="200"/>
              <w:rPr>
                <w:rFonts w:ascii="宋体" w:hAnsi="宋体" w:eastAsia="宋体" w:cs="宋体"/>
                <w:bCs/>
              </w:rPr>
            </w:pPr>
            <w:r>
              <w:rPr>
                <w:rFonts w:hint="eastAsia" w:ascii="宋体" w:hAnsi="宋体" w:eastAsia="宋体" w:cs="宋体"/>
                <w:bCs/>
              </w:rPr>
              <w:t>1 双人诊查室的开间净尺寸不应小于3.00m，使用面积不应小于12.00m²；</w:t>
            </w:r>
          </w:p>
          <w:p w14:paraId="5BC74F49">
            <w:pPr>
              <w:ind w:firstLine="480" w:firstLineChars="200"/>
            </w:pPr>
            <w:r>
              <w:rPr>
                <w:rFonts w:hint="eastAsia" w:ascii="宋体" w:hAnsi="宋体" w:eastAsia="宋体" w:cs="宋体"/>
                <w:bCs/>
              </w:rPr>
              <w:t>2 单人诊查室的开间净尺寸不应小于2.50m，使用面积不应小于8.00m²。</w:t>
            </w:r>
          </w:p>
        </w:tc>
      </w:tr>
      <w:tr w14:paraId="4BFEF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8A3C163"/>
        </w:tc>
        <w:tc>
          <w:tcPr>
            <w:tcW w:w="4261" w:type="dxa"/>
            <w:shd w:val="clear" w:color="auto" w:fill="auto"/>
          </w:tcPr>
          <w:p w14:paraId="2A4C0E3D">
            <w:pPr>
              <w:rPr>
                <w:rFonts w:ascii="宋体" w:hAnsi="宋体" w:eastAsia="宋体" w:cs="宋体"/>
                <w:bCs/>
                <w:u w:val="single"/>
              </w:rPr>
            </w:pPr>
            <w:r>
              <w:rPr>
                <w:rFonts w:hint="eastAsia" w:ascii="宋体" w:hAnsi="宋体" w:eastAsia="宋体" w:cs="宋体"/>
                <w:bCs/>
                <w:u w:val="single"/>
              </w:rPr>
              <w:t>5.2.4</w:t>
            </w:r>
            <w:r>
              <w:rPr>
                <w:rFonts w:ascii="宋体" w:hAnsi="宋体" w:eastAsia="宋体" w:cs="宋体"/>
                <w:bCs/>
                <w:u w:val="single"/>
              </w:rPr>
              <w:t xml:space="preserve">A </w:t>
            </w:r>
            <w:r>
              <w:rPr>
                <w:rFonts w:hint="eastAsia" w:ascii="宋体" w:hAnsi="宋体" w:eastAsia="宋体" w:cs="宋体"/>
                <w:bCs/>
                <w:u w:val="single"/>
              </w:rPr>
              <w:t>内科、外科诊疗单元用房设置应符合下列要求：</w:t>
            </w:r>
          </w:p>
          <w:p w14:paraId="42CB0550">
            <w:pPr>
              <w:ind w:firstLine="480" w:firstLineChars="200"/>
              <w:rPr>
                <w:rFonts w:ascii="宋体" w:hAnsi="宋体" w:eastAsia="宋体" w:cs="宋体"/>
                <w:bCs/>
                <w:u w:val="single"/>
              </w:rPr>
            </w:pPr>
            <w:r>
              <w:rPr>
                <w:rFonts w:hint="eastAsia" w:ascii="宋体" w:hAnsi="宋体" w:eastAsia="宋体" w:cs="宋体"/>
                <w:bCs/>
                <w:u w:val="single"/>
              </w:rPr>
              <w:t>1 宜各自独立成区。</w:t>
            </w:r>
          </w:p>
          <w:p w14:paraId="0197AF06">
            <w:pPr>
              <w:ind w:firstLine="480" w:firstLineChars="200"/>
              <w:rPr>
                <w:rFonts w:ascii="宋体" w:hAnsi="宋体" w:eastAsia="宋体" w:cs="宋体"/>
                <w:bCs/>
                <w:u w:val="single"/>
              </w:rPr>
            </w:pPr>
            <w:r>
              <w:rPr>
                <w:rFonts w:hint="eastAsia" w:ascii="宋体" w:hAnsi="宋体" w:eastAsia="宋体" w:cs="宋体"/>
                <w:bCs/>
                <w:u w:val="single"/>
              </w:rPr>
              <w:t>2 应设置标准诊室及相关的检查、治疗室等用房。</w:t>
            </w:r>
          </w:p>
          <w:p w14:paraId="33222E4E">
            <w:pPr>
              <w:ind w:firstLine="480" w:firstLineChars="200"/>
              <w:rPr>
                <w:rFonts w:ascii="宋体" w:hAnsi="宋体" w:eastAsia="宋体" w:cs="宋体"/>
                <w:bCs/>
                <w:u w:val="single"/>
              </w:rPr>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采用一体化诊疗单元部署模式的内外科二级专科，可设置诊断、检查、治疗、宣教、康复一体化的相关功能用房。</w:t>
            </w:r>
          </w:p>
          <w:p w14:paraId="415737DC">
            <w:pPr>
              <w:ind w:firstLine="480" w:firstLineChars="200"/>
              <w:rPr>
                <w:rFonts w:ascii="宋体" w:hAnsi="宋体" w:eastAsia="宋体" w:cs="宋体"/>
                <w:bCs/>
                <w:u w:val="single"/>
              </w:rPr>
            </w:pPr>
            <w:r>
              <w:rPr>
                <w:rFonts w:hint="eastAsia" w:ascii="宋体" w:hAnsi="宋体" w:eastAsia="宋体" w:cs="宋体"/>
                <w:bCs/>
                <w:u w:val="single"/>
              </w:rPr>
              <w:t>4</w:t>
            </w:r>
            <w:r>
              <w:rPr>
                <w:rFonts w:ascii="宋体" w:hAnsi="宋体" w:eastAsia="宋体" w:cs="宋体"/>
                <w:bCs/>
                <w:u w:val="single"/>
              </w:rPr>
              <w:t xml:space="preserve"> </w:t>
            </w:r>
            <w:r>
              <w:rPr>
                <w:rFonts w:hint="eastAsia" w:ascii="宋体" w:hAnsi="宋体" w:eastAsia="宋体" w:cs="宋体"/>
                <w:bCs/>
                <w:u w:val="single"/>
              </w:rPr>
              <w:t>内科门诊可设雾化吸入室。</w:t>
            </w:r>
          </w:p>
          <w:p w14:paraId="5D3EC456">
            <w:pPr>
              <w:ind w:firstLine="480" w:firstLineChars="200"/>
            </w:pPr>
            <w:r>
              <w:rPr>
                <w:rFonts w:hint="eastAsia" w:ascii="宋体" w:hAnsi="宋体" w:eastAsia="宋体" w:cs="宋体"/>
                <w:bCs/>
                <w:u w:val="single"/>
              </w:rPr>
              <w:t>5</w:t>
            </w:r>
            <w:r>
              <w:rPr>
                <w:rFonts w:ascii="宋体" w:hAnsi="宋体" w:eastAsia="宋体" w:cs="宋体"/>
                <w:bCs/>
                <w:u w:val="single"/>
              </w:rPr>
              <w:t xml:space="preserve"> </w:t>
            </w:r>
            <w:r>
              <w:rPr>
                <w:rFonts w:hint="eastAsia" w:ascii="宋体" w:hAnsi="宋体" w:eastAsia="宋体" w:cs="宋体"/>
                <w:bCs/>
                <w:u w:val="single"/>
              </w:rPr>
              <w:t>外科门诊宜设清创换药室、石膏间、门诊手术室等。门诊手术室也可与日间手术中心合并设置。</w:t>
            </w:r>
          </w:p>
        </w:tc>
      </w:tr>
      <w:tr w14:paraId="5F5C8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34D8E94">
            <w:pPr>
              <w:widowControl/>
              <w:rPr>
                <w:rFonts w:ascii="宋体" w:hAnsi="宋体" w:eastAsia="宋体"/>
                <w:bCs/>
              </w:rPr>
            </w:pPr>
            <w:r>
              <w:rPr>
                <w:rFonts w:hint="eastAsia" w:ascii="宋体" w:hAnsi="宋体" w:eastAsia="宋体"/>
                <w:bCs/>
              </w:rPr>
              <w:t>5.2.5</w:t>
            </w:r>
            <w:r>
              <w:rPr>
                <w:rFonts w:ascii="宋体" w:hAnsi="宋体" w:eastAsia="宋体"/>
                <w:bCs/>
              </w:rPr>
              <w:t xml:space="preserve"> </w:t>
            </w:r>
            <w:r>
              <w:rPr>
                <w:rFonts w:hint="eastAsia" w:ascii="宋体" w:hAnsi="宋体" w:eastAsia="宋体"/>
                <w:bCs/>
              </w:rPr>
              <w:t>妇科、产科</w:t>
            </w:r>
            <w:r>
              <w:rPr>
                <w:rFonts w:hint="eastAsia" w:ascii="宋体" w:hAnsi="宋体" w:eastAsia="宋体"/>
                <w:bCs/>
                <w:bdr w:val="single" w:color="auto" w:sz="4" w:space="0"/>
              </w:rPr>
              <w:t>和计划生育</w:t>
            </w:r>
            <w:r>
              <w:rPr>
                <w:rFonts w:hint="eastAsia" w:ascii="宋体" w:hAnsi="宋体" w:eastAsia="宋体"/>
                <w:bCs/>
              </w:rPr>
              <w:t>用房设置应符合下列要求：</w:t>
            </w:r>
          </w:p>
          <w:p w14:paraId="71638CD1">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bdr w:val="single" w:color="auto" w:sz="4" w:space="0"/>
              </w:rPr>
              <w:t>应</w:t>
            </w:r>
            <w:r>
              <w:rPr>
                <w:rFonts w:hint="eastAsia" w:ascii="宋体" w:hAnsi="宋体" w:eastAsia="宋体" w:cs="宋体"/>
                <w:bCs/>
              </w:rPr>
              <w:t>自成一区</w:t>
            </w:r>
            <w:r>
              <w:rPr>
                <w:rFonts w:hint="eastAsia" w:ascii="宋体" w:hAnsi="宋体" w:eastAsia="宋体"/>
                <w:bCs/>
                <w:bdr w:val="single" w:color="auto" w:sz="4" w:space="0"/>
              </w:rPr>
              <w:t>，可设单独出入口</w:t>
            </w:r>
            <w:r>
              <w:rPr>
                <w:rFonts w:hint="eastAsia" w:ascii="宋体" w:hAnsi="宋体" w:eastAsia="宋体" w:cs="宋体"/>
                <w:bCs/>
              </w:rPr>
              <w:t>。</w:t>
            </w:r>
          </w:p>
          <w:p w14:paraId="131E31F4">
            <w:pPr>
              <w:ind w:firstLine="480" w:firstLineChars="200"/>
              <w:rPr>
                <w:rFonts w:ascii="宋体" w:hAnsi="宋体" w:eastAsia="宋体" w:cs="宋体"/>
                <w:bCs/>
              </w:rPr>
            </w:pPr>
            <w:r>
              <w:rPr>
                <w:rFonts w:hint="eastAsia" w:ascii="宋体" w:hAnsi="宋体" w:eastAsia="宋体" w:cs="宋体"/>
                <w:bCs/>
              </w:rPr>
              <w:t>2 妇科应</w:t>
            </w:r>
            <w:r>
              <w:rPr>
                <w:rFonts w:hint="eastAsia" w:ascii="宋体" w:hAnsi="宋体" w:eastAsia="宋体" w:cs="宋体"/>
                <w:bCs/>
                <w:bdr w:val="single" w:color="auto" w:sz="4" w:space="0"/>
              </w:rPr>
              <w:t>增</w:t>
            </w:r>
            <w:r>
              <w:rPr>
                <w:rFonts w:hint="eastAsia" w:ascii="宋体" w:hAnsi="宋体" w:eastAsia="宋体" w:cs="宋体"/>
                <w:bCs/>
              </w:rPr>
              <w:t>设</w:t>
            </w:r>
            <w:r>
              <w:rPr>
                <w:rFonts w:hint="eastAsia" w:ascii="宋体" w:hAnsi="宋体" w:eastAsia="宋体" w:cs="宋体"/>
                <w:bCs/>
                <w:bdr w:val="single" w:color="auto" w:sz="4" w:space="0"/>
              </w:rPr>
              <w:t>隔离</w:t>
            </w:r>
            <w:r>
              <w:rPr>
                <w:rFonts w:hint="eastAsia" w:ascii="宋体" w:hAnsi="宋体" w:eastAsia="宋体" w:cs="宋体"/>
                <w:bCs/>
              </w:rPr>
              <w:t>诊室、妇科检查室</w:t>
            </w:r>
            <w:r>
              <w:rPr>
                <w:rFonts w:hint="eastAsia" w:ascii="宋体" w:hAnsi="宋体" w:eastAsia="宋体" w:cs="宋体"/>
                <w:bCs/>
                <w:bdr w:val="single" w:color="auto" w:sz="4" w:space="0"/>
              </w:rPr>
              <w:t>及专用卫生间，宜采用不多于2个诊室合用1个妇科检查室的组合方式</w:t>
            </w:r>
            <w:r>
              <w:rPr>
                <w:rFonts w:hint="eastAsia" w:ascii="宋体" w:hAnsi="宋体" w:eastAsia="宋体" w:cs="宋体"/>
                <w:bCs/>
              </w:rPr>
              <w:t>。</w:t>
            </w:r>
          </w:p>
          <w:p w14:paraId="086F1338">
            <w:pPr>
              <w:ind w:firstLine="480" w:firstLineChars="200"/>
              <w:rPr>
                <w:rFonts w:ascii="宋体" w:hAnsi="宋体" w:eastAsia="宋体" w:cs="宋体"/>
                <w:bCs/>
              </w:rPr>
            </w:pPr>
            <w:r>
              <w:rPr>
                <w:rFonts w:hint="eastAsia" w:ascii="宋体" w:hAnsi="宋体" w:eastAsia="宋体" w:cs="宋体"/>
                <w:bCs/>
              </w:rPr>
              <w:t>3 产科</w:t>
            </w:r>
            <w:r>
              <w:rPr>
                <w:rFonts w:hint="eastAsia" w:ascii="宋体" w:hAnsi="宋体" w:eastAsia="宋体" w:cs="宋体"/>
                <w:bCs/>
                <w:bdr w:val="single" w:color="auto" w:sz="4" w:space="0"/>
              </w:rPr>
              <w:t>和计划生育应增设休息室及专用卫生间</w:t>
            </w:r>
            <w:r>
              <w:rPr>
                <w:rFonts w:hint="eastAsia" w:ascii="宋体" w:hAnsi="宋体" w:eastAsia="宋体" w:cs="宋体"/>
                <w:bCs/>
              </w:rPr>
              <w:t>。</w:t>
            </w:r>
          </w:p>
          <w:p w14:paraId="6F3BE885">
            <w:pPr>
              <w:ind w:firstLine="480" w:firstLineChars="200"/>
              <w:rPr>
                <w:rFonts w:ascii="宋体" w:hAnsi="宋体" w:eastAsia="宋体" w:cs="宋体"/>
                <w:bCs/>
              </w:rPr>
            </w:pPr>
            <w:r>
              <w:rPr>
                <w:rFonts w:hint="eastAsia" w:ascii="宋体" w:hAnsi="宋体" w:eastAsia="宋体" w:cs="宋体"/>
                <w:bCs/>
              </w:rPr>
              <w:t xml:space="preserve">4 </w:t>
            </w:r>
            <w:r>
              <w:rPr>
                <w:rFonts w:hint="eastAsia" w:ascii="宋体" w:hAnsi="宋体" w:eastAsia="宋体" w:cs="宋体"/>
                <w:bCs/>
                <w:bdr w:val="single" w:color="auto" w:sz="4" w:space="0"/>
              </w:rPr>
              <w:t>妇科可增设手术室、休息室；产科可增设人流手术室、咨询室</w:t>
            </w:r>
            <w:r>
              <w:rPr>
                <w:rFonts w:hint="eastAsia" w:ascii="宋体" w:hAnsi="宋体" w:eastAsia="宋体" w:cs="宋体"/>
                <w:bCs/>
              </w:rPr>
              <w:t>。</w:t>
            </w:r>
          </w:p>
          <w:p w14:paraId="2A435790">
            <w:pPr>
              <w:ind w:firstLine="480" w:firstLineChars="200"/>
            </w:pPr>
            <w:r>
              <w:rPr>
                <w:rFonts w:hint="eastAsia" w:ascii="宋体" w:hAnsi="宋体" w:eastAsia="宋体" w:cs="宋体"/>
                <w:bCs/>
              </w:rPr>
              <w:t>5 各室应有阻隔外界视线的措施。</w:t>
            </w:r>
          </w:p>
        </w:tc>
        <w:tc>
          <w:tcPr>
            <w:tcW w:w="4261" w:type="dxa"/>
            <w:shd w:val="clear" w:color="auto" w:fill="auto"/>
          </w:tcPr>
          <w:p w14:paraId="358C95C4">
            <w:pPr>
              <w:widowControl/>
              <w:rPr>
                <w:rFonts w:ascii="宋体" w:hAnsi="宋体" w:eastAsia="宋体"/>
                <w:bCs/>
              </w:rPr>
            </w:pPr>
            <w:r>
              <w:rPr>
                <w:rFonts w:hint="eastAsia" w:ascii="宋体" w:hAnsi="宋体" w:eastAsia="宋体"/>
                <w:bCs/>
              </w:rPr>
              <w:t>5.2.5</w:t>
            </w:r>
            <w:r>
              <w:rPr>
                <w:rFonts w:ascii="宋体" w:hAnsi="宋体" w:eastAsia="宋体"/>
                <w:bCs/>
              </w:rPr>
              <w:t xml:space="preserve"> </w:t>
            </w:r>
            <w:r>
              <w:rPr>
                <w:rFonts w:hint="eastAsia" w:ascii="宋体" w:hAnsi="宋体" w:eastAsia="宋体"/>
                <w:bCs/>
              </w:rPr>
              <w:t>妇科、产科用房设置应符合下列要求：</w:t>
            </w:r>
          </w:p>
          <w:p w14:paraId="6D5A4CA1">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u w:val="single"/>
              </w:rPr>
              <w:t>宜</w:t>
            </w:r>
            <w:r>
              <w:rPr>
                <w:rFonts w:hint="eastAsia" w:ascii="宋体" w:hAnsi="宋体" w:eastAsia="宋体" w:cs="宋体"/>
                <w:bCs/>
              </w:rPr>
              <w:t>自成一区</w:t>
            </w:r>
            <w:r>
              <w:rPr>
                <w:rFonts w:hint="eastAsia" w:ascii="宋体" w:hAnsi="宋体" w:eastAsia="宋体" w:cs="宋体"/>
                <w:bCs/>
                <w:u w:val="single"/>
              </w:rPr>
              <w:t>或各自独立成区</w:t>
            </w:r>
            <w:r>
              <w:rPr>
                <w:rFonts w:hint="eastAsia" w:ascii="宋体" w:hAnsi="宋体" w:eastAsia="宋体" w:cs="宋体"/>
                <w:bCs/>
              </w:rPr>
              <w:t>。</w:t>
            </w:r>
          </w:p>
          <w:p w14:paraId="3C3AA0D1">
            <w:pPr>
              <w:ind w:firstLine="480" w:firstLineChars="200"/>
              <w:rPr>
                <w:rFonts w:ascii="宋体" w:hAnsi="宋体" w:eastAsia="宋体" w:cs="宋体"/>
                <w:bCs/>
              </w:rPr>
            </w:pPr>
            <w:r>
              <w:rPr>
                <w:rFonts w:hint="eastAsia" w:ascii="宋体" w:hAnsi="宋体" w:eastAsia="宋体" w:cs="宋体"/>
                <w:bCs/>
              </w:rPr>
              <w:t>2 妇科应设诊室、妇科检查室</w:t>
            </w:r>
            <w:r>
              <w:rPr>
                <w:rFonts w:hint="eastAsia" w:ascii="宋体" w:hAnsi="宋体" w:eastAsia="宋体" w:cs="宋体"/>
                <w:bCs/>
                <w:u w:val="single"/>
              </w:rPr>
              <w:t>，宜设腔内治疗室、阴道镜检查室、LEEP刀治疗室、其他治疗室等检查治疗用房</w:t>
            </w:r>
            <w:r>
              <w:rPr>
                <w:rFonts w:hint="eastAsia" w:ascii="宋体" w:hAnsi="宋体" w:eastAsia="宋体" w:cs="宋体"/>
                <w:bCs/>
              </w:rPr>
              <w:t>。</w:t>
            </w:r>
          </w:p>
          <w:p w14:paraId="30385428">
            <w:pPr>
              <w:ind w:firstLine="480" w:firstLineChars="200"/>
              <w:rPr>
                <w:rFonts w:ascii="宋体" w:hAnsi="宋体" w:eastAsia="宋体" w:cs="宋体"/>
                <w:bCs/>
              </w:rPr>
            </w:pPr>
            <w:r>
              <w:rPr>
                <w:rFonts w:hint="eastAsia" w:ascii="宋体" w:hAnsi="宋体" w:eastAsia="宋体" w:cs="宋体"/>
                <w:bCs/>
              </w:rPr>
              <w:t>3 产科</w:t>
            </w:r>
            <w:r>
              <w:rPr>
                <w:rFonts w:hint="eastAsia" w:ascii="宋体" w:hAnsi="宋体" w:eastAsia="宋体" w:cs="宋体"/>
                <w:bCs/>
                <w:u w:val="single"/>
              </w:rPr>
              <w:t>宜增设孕妇学校、胎心监测室、产后康复室、专用卫生间等。产后康复室也可独立成区设置</w:t>
            </w:r>
            <w:r>
              <w:rPr>
                <w:rFonts w:hint="eastAsia" w:ascii="宋体" w:hAnsi="宋体" w:eastAsia="宋体" w:cs="宋体"/>
                <w:bCs/>
              </w:rPr>
              <w:t>。</w:t>
            </w:r>
          </w:p>
          <w:p w14:paraId="7C016163">
            <w:pPr>
              <w:ind w:firstLine="480" w:firstLineChars="200"/>
              <w:rPr>
                <w:rFonts w:ascii="宋体" w:hAnsi="宋体" w:eastAsia="宋体" w:cs="宋体"/>
                <w:bCs/>
              </w:rPr>
            </w:pPr>
            <w:r>
              <w:rPr>
                <w:rFonts w:hint="eastAsia" w:ascii="宋体" w:hAnsi="宋体" w:eastAsia="宋体" w:cs="宋体"/>
                <w:bCs/>
              </w:rPr>
              <w:t>4</w:t>
            </w:r>
            <w:r>
              <w:rPr>
                <w:rFonts w:ascii="宋体" w:hAnsi="宋体" w:eastAsia="宋体" w:cs="宋体"/>
                <w:bCs/>
              </w:rPr>
              <w:t xml:space="preserve"> </w:t>
            </w:r>
            <w:r>
              <w:rPr>
                <w:rFonts w:hint="eastAsia" w:ascii="宋体" w:hAnsi="宋体" w:eastAsia="宋体" w:cs="宋体"/>
                <w:bCs/>
                <w:u w:val="single"/>
              </w:rPr>
              <w:t>妇产科可设门诊手术室、人流手术室、宫腔镜检查室及配套的医护准备间、病患准备间、病患术后观察恢复室、洁净物品库、污物暂存间等。门诊手术与人流手术室也可与医院日间手术中心合并设置</w:t>
            </w:r>
            <w:r>
              <w:rPr>
                <w:rFonts w:hint="eastAsia" w:ascii="宋体" w:hAnsi="宋体" w:eastAsia="宋体" w:cs="宋体"/>
                <w:bCs/>
              </w:rPr>
              <w:t>。</w:t>
            </w:r>
          </w:p>
          <w:p w14:paraId="7482F777">
            <w:pPr>
              <w:ind w:firstLine="480" w:firstLineChars="200"/>
            </w:pPr>
            <w:r>
              <w:rPr>
                <w:rFonts w:hint="eastAsia" w:ascii="宋体" w:hAnsi="宋体" w:eastAsia="宋体" w:cs="宋体"/>
                <w:bCs/>
              </w:rPr>
              <w:t>5 各室应有阻隔外界视线的措施。</w:t>
            </w:r>
          </w:p>
        </w:tc>
      </w:tr>
      <w:tr w14:paraId="6E70F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FAF3CD2">
            <w:pPr>
              <w:widowControl/>
              <w:rPr>
                <w:rFonts w:ascii="宋体" w:hAnsi="宋体" w:eastAsia="宋体"/>
                <w:bCs/>
              </w:rPr>
            </w:pPr>
            <w:r>
              <w:rPr>
                <w:rFonts w:hint="eastAsia" w:ascii="宋体" w:hAnsi="宋体" w:eastAsia="宋体"/>
                <w:bCs/>
              </w:rPr>
              <w:t>5.2.6</w:t>
            </w:r>
            <w:r>
              <w:rPr>
                <w:rFonts w:ascii="宋体" w:hAnsi="宋体" w:eastAsia="宋体"/>
                <w:bCs/>
              </w:rPr>
              <w:t xml:space="preserve"> </w:t>
            </w:r>
            <w:r>
              <w:rPr>
                <w:rFonts w:hint="eastAsia" w:ascii="宋体" w:hAnsi="宋体" w:eastAsia="宋体"/>
                <w:bCs/>
              </w:rPr>
              <w:t>儿科用房设置应符合下列要求：</w:t>
            </w:r>
          </w:p>
          <w:p w14:paraId="30BD3163">
            <w:pPr>
              <w:ind w:firstLine="480" w:firstLineChars="200"/>
              <w:rPr>
                <w:rFonts w:ascii="宋体" w:hAnsi="宋体" w:eastAsia="宋体" w:cs="宋体"/>
                <w:bCs/>
              </w:rPr>
            </w:pPr>
            <w:r>
              <w:rPr>
                <w:rFonts w:hint="eastAsia" w:ascii="宋体" w:hAnsi="宋体" w:eastAsia="宋体" w:cs="宋体"/>
                <w:bCs/>
              </w:rPr>
              <w:t>1 应自成一区，可设单独出入口。</w:t>
            </w:r>
          </w:p>
          <w:p w14:paraId="651C686C">
            <w:pPr>
              <w:ind w:firstLine="480" w:firstLineChars="200"/>
              <w:rPr>
                <w:rFonts w:ascii="宋体" w:hAnsi="宋体" w:eastAsia="宋体" w:cs="宋体"/>
                <w:bCs/>
              </w:rPr>
            </w:pPr>
            <w:r>
              <w:rPr>
                <w:rFonts w:hint="eastAsia" w:ascii="宋体" w:hAnsi="宋体" w:eastAsia="宋体" w:cs="宋体"/>
                <w:bCs/>
              </w:rPr>
              <w:t>2 应</w:t>
            </w:r>
            <w:r>
              <w:rPr>
                <w:rFonts w:hint="eastAsia" w:ascii="宋体" w:hAnsi="宋体" w:eastAsia="宋体" w:cs="宋体"/>
                <w:bCs/>
                <w:bdr w:val="single" w:color="auto" w:sz="4" w:space="0"/>
              </w:rPr>
              <w:t>增</w:t>
            </w:r>
            <w:r>
              <w:rPr>
                <w:rFonts w:hint="eastAsia" w:ascii="宋体" w:hAnsi="宋体" w:eastAsia="宋体" w:cs="宋体"/>
                <w:bCs/>
              </w:rPr>
              <w:t>设预检、</w:t>
            </w:r>
            <w:r>
              <w:rPr>
                <w:rFonts w:hint="eastAsia" w:ascii="宋体" w:hAnsi="宋体" w:eastAsia="宋体" w:cs="宋体"/>
                <w:bCs/>
                <w:bdr w:val="single" w:color="auto" w:sz="4" w:space="0"/>
              </w:rPr>
              <w:t>候诊</w:t>
            </w:r>
            <w:r>
              <w:rPr>
                <w:rFonts w:hint="eastAsia" w:ascii="宋体" w:hAnsi="宋体" w:eastAsia="宋体" w:cs="宋体"/>
                <w:bCs/>
              </w:rPr>
              <w:t>、儿科专用卫生间、隔离诊查和隔离卫生间等用房。</w:t>
            </w:r>
            <w:r>
              <w:rPr>
                <w:rFonts w:hint="eastAsia" w:ascii="宋体" w:hAnsi="宋体" w:eastAsia="宋体" w:cs="宋体"/>
                <w:bCs/>
                <w:bdr w:val="single" w:color="auto" w:sz="4" w:space="0"/>
              </w:rPr>
              <w:t>隔离区宜有单独对外出口。</w:t>
            </w:r>
          </w:p>
          <w:p w14:paraId="3A381E5B">
            <w:pPr>
              <w:ind w:firstLine="480" w:firstLineChars="200"/>
              <w:rPr>
                <w:rFonts w:ascii="宋体" w:hAnsi="宋体" w:eastAsia="宋体" w:cs="宋体"/>
                <w:bCs/>
                <w:u w:val="single"/>
              </w:rPr>
            </w:pPr>
            <w:r>
              <w:rPr>
                <w:rFonts w:hint="eastAsia" w:ascii="宋体" w:hAnsi="宋体" w:eastAsia="宋体" w:cs="宋体"/>
                <w:bCs/>
              </w:rPr>
              <w:t>3 可单独设置挂号、药房、注射、检验和输液等用房。</w:t>
            </w:r>
          </w:p>
          <w:p w14:paraId="0B62934D">
            <w:pPr>
              <w:ind w:firstLine="480" w:firstLineChars="200"/>
            </w:pPr>
            <w:r>
              <w:rPr>
                <w:rFonts w:hint="eastAsia" w:ascii="宋体" w:hAnsi="宋体" w:eastAsia="宋体" w:cs="宋体"/>
                <w:bCs/>
              </w:rPr>
              <w:t>4 候诊</w:t>
            </w:r>
            <w:r>
              <w:rPr>
                <w:rFonts w:hint="eastAsia" w:ascii="宋体" w:hAnsi="宋体" w:eastAsia="宋体" w:cs="宋体"/>
                <w:bCs/>
                <w:bdr w:val="single" w:color="auto" w:sz="4" w:space="0"/>
              </w:rPr>
              <w:t>处面积每患儿不应小于1.50m²</w:t>
            </w:r>
            <w:r>
              <w:rPr>
                <w:rFonts w:hint="eastAsia" w:ascii="宋体" w:hAnsi="宋体" w:eastAsia="宋体" w:cs="宋体"/>
                <w:bCs/>
              </w:rPr>
              <w:t>。</w:t>
            </w:r>
          </w:p>
        </w:tc>
        <w:tc>
          <w:tcPr>
            <w:tcW w:w="4261" w:type="dxa"/>
            <w:shd w:val="clear" w:color="auto" w:fill="auto"/>
          </w:tcPr>
          <w:p w14:paraId="242B66D7">
            <w:pPr>
              <w:widowControl/>
              <w:rPr>
                <w:rFonts w:ascii="宋体" w:hAnsi="宋体" w:eastAsia="宋体"/>
                <w:bCs/>
              </w:rPr>
            </w:pPr>
            <w:r>
              <w:rPr>
                <w:rFonts w:hint="eastAsia" w:ascii="宋体" w:hAnsi="宋体" w:eastAsia="宋体"/>
                <w:bCs/>
              </w:rPr>
              <w:t>5.2.6</w:t>
            </w:r>
            <w:r>
              <w:rPr>
                <w:rFonts w:ascii="宋体" w:hAnsi="宋体" w:eastAsia="宋体"/>
                <w:bCs/>
              </w:rPr>
              <w:t xml:space="preserve"> </w:t>
            </w:r>
            <w:r>
              <w:rPr>
                <w:rFonts w:hint="eastAsia" w:ascii="宋体" w:hAnsi="宋体" w:eastAsia="宋体"/>
                <w:bCs/>
              </w:rPr>
              <w:t>儿科用房设置应符合下列要求：</w:t>
            </w:r>
          </w:p>
          <w:p w14:paraId="3014FE27">
            <w:pPr>
              <w:ind w:firstLine="480" w:firstLineChars="200"/>
              <w:rPr>
                <w:rFonts w:ascii="宋体" w:hAnsi="宋体" w:eastAsia="宋体" w:cs="宋体"/>
                <w:bCs/>
              </w:rPr>
            </w:pPr>
            <w:r>
              <w:rPr>
                <w:rFonts w:hint="eastAsia" w:ascii="宋体" w:hAnsi="宋体" w:eastAsia="宋体" w:cs="宋体"/>
                <w:bCs/>
              </w:rPr>
              <w:t>1 应自成一区，可设单独出入口。</w:t>
            </w:r>
          </w:p>
          <w:p w14:paraId="3066F2EA">
            <w:pPr>
              <w:ind w:firstLine="480" w:firstLineChars="200"/>
              <w:rPr>
                <w:rFonts w:ascii="宋体" w:hAnsi="宋体" w:eastAsia="宋体" w:cs="宋体"/>
                <w:bCs/>
              </w:rPr>
            </w:pPr>
            <w:r>
              <w:rPr>
                <w:rFonts w:hint="eastAsia" w:ascii="宋体" w:hAnsi="宋体" w:eastAsia="宋体" w:cs="宋体"/>
                <w:bCs/>
              </w:rPr>
              <w:t>2 应设预检</w:t>
            </w:r>
            <w:r>
              <w:rPr>
                <w:rFonts w:hint="eastAsia" w:ascii="宋体" w:hAnsi="宋体" w:eastAsia="宋体" w:cs="宋体"/>
                <w:bCs/>
                <w:u w:val="single"/>
              </w:rPr>
              <w:t>分诊</w:t>
            </w:r>
            <w:r>
              <w:rPr>
                <w:rFonts w:hint="eastAsia" w:ascii="宋体" w:hAnsi="宋体" w:eastAsia="宋体" w:cs="宋体"/>
                <w:bCs/>
              </w:rPr>
              <w:t>、</w:t>
            </w:r>
            <w:r>
              <w:rPr>
                <w:rFonts w:hint="eastAsia" w:ascii="宋体" w:hAnsi="宋体" w:eastAsia="宋体" w:cs="宋体"/>
                <w:bCs/>
                <w:u w:val="single"/>
              </w:rPr>
              <w:t>诊查室、母婴室</w:t>
            </w:r>
            <w:r>
              <w:rPr>
                <w:rFonts w:hint="eastAsia" w:ascii="宋体" w:hAnsi="宋体" w:eastAsia="宋体" w:cs="宋体"/>
                <w:bCs/>
              </w:rPr>
              <w:t>、儿科专用卫生间、隔离诊查</w:t>
            </w:r>
            <w:r>
              <w:rPr>
                <w:rFonts w:hint="eastAsia" w:ascii="宋体" w:hAnsi="宋体" w:eastAsia="宋体" w:cs="宋体"/>
                <w:bCs/>
                <w:u w:val="single"/>
              </w:rPr>
              <w:t>室</w:t>
            </w:r>
            <w:r>
              <w:rPr>
                <w:rFonts w:hint="eastAsia" w:ascii="宋体" w:hAnsi="宋体" w:eastAsia="宋体" w:cs="宋体"/>
                <w:bCs/>
              </w:rPr>
              <w:t>和隔离卫生间等用房。</w:t>
            </w:r>
          </w:p>
          <w:p w14:paraId="7881BF30">
            <w:pPr>
              <w:ind w:firstLine="480" w:firstLineChars="200"/>
              <w:rPr>
                <w:rFonts w:ascii="宋体" w:hAnsi="宋体" w:eastAsia="宋体" w:cs="宋体"/>
                <w:bCs/>
              </w:rPr>
            </w:pPr>
            <w:r>
              <w:rPr>
                <w:rFonts w:hint="eastAsia" w:ascii="宋体" w:hAnsi="宋体" w:eastAsia="宋体" w:cs="宋体"/>
                <w:bCs/>
              </w:rPr>
              <w:t>3 可单独设置挂号、药房、注射、</w:t>
            </w:r>
            <w:r>
              <w:rPr>
                <w:rFonts w:hint="eastAsia" w:ascii="宋体" w:hAnsi="宋体" w:eastAsia="宋体" w:cs="宋体"/>
                <w:bCs/>
                <w:u w:val="single"/>
              </w:rPr>
              <w:t>采血、</w:t>
            </w:r>
            <w:r>
              <w:rPr>
                <w:rFonts w:hint="eastAsia" w:ascii="宋体" w:hAnsi="宋体" w:eastAsia="宋体" w:cs="宋体"/>
                <w:bCs/>
              </w:rPr>
              <w:t>检验和输液</w:t>
            </w:r>
            <w:r>
              <w:rPr>
                <w:rFonts w:hint="eastAsia" w:ascii="宋体" w:hAnsi="宋体" w:eastAsia="宋体" w:cs="宋体"/>
                <w:bCs/>
                <w:u w:val="single"/>
              </w:rPr>
              <w:t>、雾化吸入治疗室</w:t>
            </w:r>
            <w:r>
              <w:rPr>
                <w:rFonts w:hint="eastAsia" w:ascii="宋体" w:hAnsi="宋体" w:eastAsia="宋体" w:cs="宋体"/>
                <w:bCs/>
              </w:rPr>
              <w:t>等用房。</w:t>
            </w:r>
          </w:p>
          <w:p w14:paraId="24909FE2">
            <w:pPr>
              <w:ind w:firstLine="480" w:firstLineChars="200"/>
              <w:rPr>
                <w:rFonts w:ascii="宋体" w:hAnsi="宋体" w:eastAsia="宋体" w:cs="宋体"/>
                <w:bCs/>
                <w:u w:val="single"/>
              </w:rPr>
            </w:pPr>
            <w:r>
              <w:rPr>
                <w:rFonts w:hint="eastAsia" w:ascii="宋体" w:hAnsi="宋体" w:eastAsia="宋体" w:cs="宋体"/>
                <w:bCs/>
                <w:u w:val="single"/>
              </w:rPr>
              <w:t>3</w:t>
            </w:r>
            <w:r>
              <w:rPr>
                <w:rFonts w:ascii="宋体" w:hAnsi="宋体" w:eastAsia="宋体" w:cs="宋体"/>
                <w:bCs/>
                <w:u w:val="single"/>
              </w:rPr>
              <w:t xml:space="preserve">A </w:t>
            </w:r>
            <w:r>
              <w:rPr>
                <w:rFonts w:hint="eastAsia" w:ascii="宋体" w:hAnsi="宋体" w:eastAsia="宋体" w:cs="宋体"/>
                <w:bCs/>
                <w:u w:val="single"/>
              </w:rPr>
              <w:t>设置儿童预防保健、儿童康复用房的，宜相对独立成区，并设置评估、诊断、保健治疗、儿童康复等方面的用房。</w:t>
            </w:r>
          </w:p>
          <w:p w14:paraId="5B5255ED">
            <w:pPr>
              <w:ind w:firstLine="480" w:firstLineChars="200"/>
              <w:rPr>
                <w:rFonts w:ascii="宋体" w:hAnsi="宋体" w:eastAsia="宋体" w:cs="宋体"/>
                <w:bCs/>
              </w:rPr>
            </w:pPr>
            <w:r>
              <w:rPr>
                <w:rFonts w:hint="eastAsia" w:ascii="宋体" w:hAnsi="宋体" w:eastAsia="宋体" w:cs="宋体"/>
                <w:bCs/>
              </w:rPr>
              <w:t>4 候诊</w:t>
            </w:r>
            <w:r>
              <w:rPr>
                <w:rFonts w:hint="eastAsia" w:ascii="宋体" w:hAnsi="宋体" w:eastAsia="宋体" w:cs="宋体"/>
                <w:bCs/>
                <w:u w:val="single"/>
              </w:rPr>
              <w:t>区等候人数应按2m²/人</w:t>
            </w:r>
            <w:r>
              <w:rPr>
                <w:rFonts w:hint="eastAsia" w:ascii="宋体" w:hAnsi="宋体" w:eastAsia="宋体" w:cs="宋体"/>
                <w:bCs/>
              </w:rPr>
              <w:t>。</w:t>
            </w:r>
          </w:p>
          <w:p w14:paraId="00B7411D">
            <w:pPr>
              <w:ind w:firstLine="480" w:firstLineChars="200"/>
              <w:rPr>
                <w:rFonts w:ascii="宋体" w:hAnsi="宋体" w:eastAsia="宋体" w:cs="宋体"/>
                <w:bCs/>
                <w:u w:val="single"/>
              </w:rPr>
            </w:pPr>
            <w:r>
              <w:rPr>
                <w:rFonts w:hint="eastAsia" w:ascii="宋体" w:hAnsi="宋体" w:eastAsia="宋体" w:cs="宋体"/>
                <w:bCs/>
                <w:u w:val="single"/>
              </w:rPr>
              <w:t>5</w:t>
            </w:r>
            <w:r>
              <w:rPr>
                <w:rFonts w:ascii="宋体" w:hAnsi="宋体" w:eastAsia="宋体" w:cs="宋体"/>
                <w:bCs/>
                <w:u w:val="single"/>
              </w:rPr>
              <w:t xml:space="preserve"> </w:t>
            </w:r>
            <w:r>
              <w:rPr>
                <w:rFonts w:hint="eastAsia" w:ascii="宋体" w:hAnsi="宋体" w:eastAsia="宋体" w:cs="宋体"/>
                <w:bCs/>
                <w:u w:val="single"/>
              </w:rPr>
              <w:t>候诊区附近宜设置儿童乐园，儿童乐园墙体与地面应为软质材料，墙体上应设置警示性标识。</w:t>
            </w:r>
          </w:p>
          <w:p w14:paraId="5FB99AB5">
            <w:pPr>
              <w:ind w:firstLine="480" w:firstLineChars="200"/>
            </w:pPr>
            <w:r>
              <w:rPr>
                <w:rFonts w:ascii="宋体" w:hAnsi="宋体" w:eastAsia="宋体" w:cs="宋体"/>
                <w:bCs/>
                <w:u w:val="single"/>
              </w:rPr>
              <w:t xml:space="preserve">6 </w:t>
            </w:r>
            <w:r>
              <w:rPr>
                <w:rFonts w:hint="eastAsia" w:ascii="宋体" w:hAnsi="宋体" w:eastAsia="宋体" w:cs="宋体"/>
                <w:bCs/>
                <w:u w:val="single"/>
              </w:rPr>
              <w:t>走廊距离地面0.6m处宜加设幼儿专用扶手</w:t>
            </w:r>
            <w:r>
              <w:rPr>
                <w:rFonts w:ascii="宋体" w:hAnsi="宋体" w:eastAsia="宋体" w:cs="宋体"/>
                <w:bCs/>
                <w:u w:val="single"/>
              </w:rPr>
              <w:t>。</w:t>
            </w:r>
          </w:p>
        </w:tc>
      </w:tr>
      <w:tr w14:paraId="3700F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025EA6F">
            <w:pPr>
              <w:widowControl/>
              <w:rPr>
                <w:rFonts w:ascii="宋体" w:hAnsi="宋体" w:eastAsia="宋体"/>
                <w:bCs/>
              </w:rPr>
            </w:pPr>
            <w:r>
              <w:rPr>
                <w:rFonts w:hint="eastAsia" w:ascii="宋体" w:hAnsi="宋体" w:eastAsia="宋体"/>
                <w:bCs/>
              </w:rPr>
              <w:t>5.2.7</w:t>
            </w:r>
            <w:r>
              <w:rPr>
                <w:rFonts w:ascii="宋体" w:hAnsi="宋体" w:eastAsia="宋体"/>
                <w:bCs/>
              </w:rPr>
              <w:t xml:space="preserve"> </w:t>
            </w:r>
            <w:r>
              <w:rPr>
                <w:rFonts w:hint="eastAsia" w:ascii="宋体" w:hAnsi="宋体" w:eastAsia="宋体"/>
                <w:bCs/>
              </w:rPr>
              <w:t>耳鼻喉科用房设置应符合下列要求：</w:t>
            </w:r>
          </w:p>
          <w:p w14:paraId="399F648A">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bdr w:val="single" w:color="auto" w:sz="4" w:space="0"/>
              </w:rPr>
              <w:t>应增设内镜检查（包括食道镜等）、治疗的用房</w:t>
            </w:r>
            <w:r>
              <w:rPr>
                <w:rFonts w:hint="eastAsia" w:ascii="宋体" w:hAnsi="宋体" w:eastAsia="宋体" w:cs="宋体"/>
                <w:bCs/>
              </w:rPr>
              <w:t>；</w:t>
            </w:r>
          </w:p>
          <w:p w14:paraId="7AC377C3">
            <w:pPr>
              <w:ind w:firstLine="480" w:firstLineChars="200"/>
            </w:pPr>
            <w:r>
              <w:rPr>
                <w:rFonts w:hint="eastAsia" w:ascii="宋体" w:hAnsi="宋体" w:eastAsia="宋体" w:cs="宋体"/>
                <w:bCs/>
              </w:rPr>
              <w:t xml:space="preserve">2 </w:t>
            </w:r>
            <w:r>
              <w:rPr>
                <w:rFonts w:hint="eastAsia" w:ascii="宋体" w:hAnsi="宋体" w:eastAsia="宋体" w:cs="宋体"/>
                <w:bCs/>
                <w:bdr w:val="single" w:color="auto" w:sz="4" w:space="0"/>
              </w:rPr>
              <w:t>可设置手术、测听、前庭功能、内镜检查（包括气管镜、食道镜等）等用房</w:t>
            </w:r>
            <w:r>
              <w:rPr>
                <w:rFonts w:hint="eastAsia" w:ascii="宋体" w:hAnsi="宋体" w:eastAsia="宋体" w:cs="宋体"/>
                <w:bCs/>
              </w:rPr>
              <w:t>。</w:t>
            </w:r>
          </w:p>
        </w:tc>
        <w:tc>
          <w:tcPr>
            <w:tcW w:w="4261" w:type="dxa"/>
            <w:shd w:val="clear" w:color="auto" w:fill="auto"/>
          </w:tcPr>
          <w:p w14:paraId="2D55C4C3">
            <w:pPr>
              <w:widowControl/>
              <w:rPr>
                <w:rFonts w:ascii="宋体" w:hAnsi="宋体" w:eastAsia="宋体"/>
                <w:bCs/>
              </w:rPr>
            </w:pPr>
            <w:r>
              <w:rPr>
                <w:rFonts w:hint="eastAsia" w:ascii="宋体" w:hAnsi="宋体" w:eastAsia="宋体"/>
                <w:bCs/>
              </w:rPr>
              <w:t>5.2.7</w:t>
            </w:r>
            <w:r>
              <w:rPr>
                <w:rFonts w:ascii="宋体" w:hAnsi="宋体" w:eastAsia="宋体"/>
                <w:bCs/>
              </w:rPr>
              <w:t xml:space="preserve"> </w:t>
            </w:r>
            <w:r>
              <w:rPr>
                <w:rFonts w:hint="eastAsia" w:ascii="宋体" w:hAnsi="宋体" w:eastAsia="宋体"/>
                <w:bCs/>
              </w:rPr>
              <w:t>耳鼻喉科用房设置应符合下列要求：</w:t>
            </w:r>
          </w:p>
          <w:p w14:paraId="4E6A43AE">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u w:val="single"/>
              </w:rPr>
              <w:t>应设诊室、治疗室；诊室内配置综合治疗台</w:t>
            </w:r>
            <w:r>
              <w:rPr>
                <w:rFonts w:hint="eastAsia" w:ascii="宋体" w:hAnsi="宋体" w:eastAsia="宋体" w:cs="宋体"/>
                <w:bCs/>
              </w:rPr>
              <w:t>；</w:t>
            </w:r>
          </w:p>
          <w:p w14:paraId="37D66582">
            <w:pPr>
              <w:ind w:firstLine="480" w:firstLineChars="200"/>
            </w:pPr>
            <w:r>
              <w:rPr>
                <w:rFonts w:hint="eastAsia" w:ascii="宋体" w:hAnsi="宋体" w:eastAsia="宋体" w:cs="宋体"/>
                <w:bCs/>
              </w:rPr>
              <w:t>2</w:t>
            </w:r>
            <w:r>
              <w:rPr>
                <w:rFonts w:ascii="宋体" w:hAnsi="宋体" w:eastAsia="宋体" w:cs="宋体"/>
                <w:bCs/>
              </w:rPr>
              <w:t xml:space="preserve"> </w:t>
            </w:r>
            <w:r>
              <w:rPr>
                <w:rFonts w:hint="eastAsia" w:ascii="宋体" w:hAnsi="宋体" w:eastAsia="宋体" w:cs="宋体"/>
                <w:bCs/>
                <w:u w:val="single"/>
              </w:rPr>
              <w:t>可设置内镜检查室及配套清洗间、听力检测室、前庭功能检测室、脑干诱发电位检测室、门诊手术室、门诊治疗室、过敏原检测及脱敏治疗后观察室等用房</w:t>
            </w:r>
            <w:r>
              <w:rPr>
                <w:rFonts w:hint="eastAsia" w:ascii="宋体" w:hAnsi="宋体" w:eastAsia="宋体" w:cs="宋体"/>
                <w:bCs/>
              </w:rPr>
              <w:t>。</w:t>
            </w:r>
          </w:p>
        </w:tc>
      </w:tr>
      <w:tr w14:paraId="771F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9EF07A3">
            <w:pPr>
              <w:widowControl/>
              <w:rPr>
                <w:rFonts w:ascii="宋体" w:hAnsi="宋体" w:eastAsia="宋体"/>
                <w:bCs/>
              </w:rPr>
            </w:pPr>
            <w:r>
              <w:rPr>
                <w:rFonts w:hint="eastAsia" w:ascii="宋体" w:hAnsi="宋体" w:eastAsia="宋体"/>
                <w:bCs/>
              </w:rPr>
              <w:t>5.2.8 眼科用房设置应符合下列要求：</w:t>
            </w:r>
          </w:p>
          <w:p w14:paraId="0204AFD1">
            <w:pPr>
              <w:ind w:firstLine="480" w:firstLineChars="200"/>
              <w:rPr>
                <w:rFonts w:ascii="宋体" w:hAnsi="宋体" w:eastAsia="宋体" w:cs="宋体"/>
                <w:bCs/>
              </w:rPr>
            </w:pPr>
            <w:r>
              <w:rPr>
                <w:rFonts w:hint="eastAsia" w:ascii="宋体" w:hAnsi="宋体" w:eastAsia="宋体" w:cs="宋体"/>
                <w:bCs/>
              </w:rPr>
              <w:t>1 应</w:t>
            </w:r>
            <w:r>
              <w:rPr>
                <w:rFonts w:hint="eastAsia" w:ascii="宋体" w:hAnsi="宋体" w:eastAsia="宋体" w:cs="宋体"/>
                <w:bCs/>
                <w:bdr w:val="single" w:color="auto" w:sz="4" w:space="0"/>
              </w:rPr>
              <w:t>增</w:t>
            </w:r>
            <w:r>
              <w:rPr>
                <w:rFonts w:hint="eastAsia" w:ascii="宋体" w:hAnsi="宋体" w:eastAsia="宋体" w:cs="宋体"/>
                <w:bCs/>
              </w:rPr>
              <w:t>设初检（视力、眼压、屈光）、</w:t>
            </w:r>
            <w:r>
              <w:rPr>
                <w:rFonts w:hint="eastAsia" w:ascii="宋体" w:hAnsi="宋体" w:eastAsia="宋体" w:cs="宋体"/>
                <w:bCs/>
                <w:bdr w:val="single" w:color="auto" w:sz="4" w:space="0"/>
              </w:rPr>
              <w:t>诊查、</w:t>
            </w:r>
            <w:r>
              <w:rPr>
                <w:rFonts w:hint="eastAsia" w:ascii="宋体" w:hAnsi="宋体" w:eastAsia="宋体" w:cs="宋体"/>
                <w:bCs/>
              </w:rPr>
              <w:t>治疗、检查</w:t>
            </w:r>
            <w:r>
              <w:rPr>
                <w:rFonts w:hint="eastAsia" w:ascii="宋体" w:hAnsi="宋体" w:eastAsia="宋体" w:cs="宋体"/>
                <w:bCs/>
                <w:bdr w:val="single" w:color="auto" w:sz="4" w:space="0"/>
              </w:rPr>
              <w:t>、暗</w:t>
            </w:r>
            <w:r>
              <w:rPr>
                <w:rFonts w:hint="eastAsia" w:ascii="宋体" w:hAnsi="宋体" w:eastAsia="宋体" w:cs="宋体"/>
                <w:bCs/>
              </w:rPr>
              <w:t>室等用房；</w:t>
            </w:r>
          </w:p>
          <w:p w14:paraId="08D98FDD">
            <w:pPr>
              <w:ind w:firstLine="480" w:firstLineChars="200"/>
              <w:rPr>
                <w:rFonts w:ascii="宋体" w:hAnsi="宋体" w:eastAsia="宋体" w:cs="宋体"/>
                <w:bCs/>
              </w:rPr>
            </w:pPr>
            <w:r>
              <w:rPr>
                <w:rFonts w:hint="eastAsia" w:ascii="宋体" w:hAnsi="宋体" w:eastAsia="宋体" w:cs="宋体"/>
                <w:bCs/>
              </w:rPr>
              <w:t>2 初检室和诊查室宜具备明暗转换装置；</w:t>
            </w:r>
          </w:p>
          <w:p w14:paraId="5D0AE629">
            <w:pPr>
              <w:ind w:firstLine="480" w:firstLineChars="200"/>
            </w:pPr>
            <w:r>
              <w:rPr>
                <w:rFonts w:hint="eastAsia" w:ascii="宋体" w:hAnsi="宋体" w:eastAsia="宋体" w:cs="宋体"/>
                <w:bCs/>
              </w:rPr>
              <w:t xml:space="preserve">3 </w:t>
            </w:r>
            <w:r>
              <w:rPr>
                <w:rFonts w:hint="eastAsia" w:ascii="宋体" w:hAnsi="宋体" w:eastAsia="宋体" w:cs="宋体"/>
                <w:bCs/>
                <w:bdr w:val="single" w:color="auto" w:sz="4" w:space="0"/>
              </w:rPr>
              <w:t>宜</w:t>
            </w:r>
            <w:r>
              <w:rPr>
                <w:rFonts w:hint="eastAsia" w:ascii="宋体" w:hAnsi="宋体" w:eastAsia="宋体" w:cs="宋体"/>
                <w:bCs/>
              </w:rPr>
              <w:t>设置专用手术室。</w:t>
            </w:r>
          </w:p>
        </w:tc>
        <w:tc>
          <w:tcPr>
            <w:tcW w:w="4261" w:type="dxa"/>
            <w:shd w:val="clear" w:color="auto" w:fill="auto"/>
          </w:tcPr>
          <w:p w14:paraId="652E8B23">
            <w:pPr>
              <w:widowControl/>
              <w:rPr>
                <w:rFonts w:ascii="宋体" w:hAnsi="宋体" w:eastAsia="宋体"/>
                <w:bCs/>
              </w:rPr>
            </w:pPr>
            <w:r>
              <w:rPr>
                <w:rFonts w:hint="eastAsia" w:ascii="宋体" w:hAnsi="宋体" w:eastAsia="宋体"/>
                <w:bCs/>
              </w:rPr>
              <w:t>5.2.8 眼科用房设置应符合下列要求：</w:t>
            </w:r>
          </w:p>
          <w:p w14:paraId="459C97C7">
            <w:pPr>
              <w:ind w:firstLine="480" w:firstLineChars="200"/>
              <w:rPr>
                <w:rFonts w:ascii="宋体" w:hAnsi="宋体" w:eastAsia="宋体" w:cs="宋体"/>
                <w:bCs/>
              </w:rPr>
            </w:pPr>
            <w:r>
              <w:rPr>
                <w:rFonts w:hint="eastAsia" w:ascii="宋体" w:hAnsi="宋体" w:eastAsia="宋体" w:cs="宋体"/>
                <w:bCs/>
              </w:rPr>
              <w:t>1 应设</w:t>
            </w:r>
            <w:r>
              <w:rPr>
                <w:rFonts w:hint="eastAsia" w:ascii="宋体" w:hAnsi="宋体" w:eastAsia="宋体" w:cs="宋体"/>
                <w:bCs/>
                <w:u w:val="single"/>
              </w:rPr>
              <w:t>诊室、</w:t>
            </w:r>
            <w:r>
              <w:rPr>
                <w:rFonts w:hint="eastAsia" w:ascii="宋体" w:hAnsi="宋体" w:eastAsia="宋体" w:cs="宋体"/>
                <w:bCs/>
              </w:rPr>
              <w:t>初检（视力、眼压、屈光）、治疗</w:t>
            </w:r>
            <w:r>
              <w:rPr>
                <w:rFonts w:hint="eastAsia" w:ascii="宋体" w:hAnsi="宋体" w:eastAsia="宋体" w:cs="宋体"/>
                <w:bCs/>
                <w:u w:val="single"/>
              </w:rPr>
              <w:t>室</w:t>
            </w:r>
            <w:r>
              <w:rPr>
                <w:rFonts w:hint="eastAsia" w:ascii="宋体" w:hAnsi="宋体" w:eastAsia="宋体" w:cs="宋体"/>
                <w:bCs/>
              </w:rPr>
              <w:t>、</w:t>
            </w:r>
            <w:r>
              <w:rPr>
                <w:rFonts w:hint="eastAsia" w:ascii="宋体" w:hAnsi="宋体" w:eastAsia="宋体" w:cs="宋体"/>
                <w:bCs/>
                <w:u w:val="single"/>
              </w:rPr>
              <w:t>各类</w:t>
            </w:r>
            <w:r>
              <w:rPr>
                <w:rFonts w:hint="eastAsia" w:ascii="宋体" w:hAnsi="宋体" w:eastAsia="宋体" w:cs="宋体"/>
                <w:bCs/>
              </w:rPr>
              <w:t>检查室等用房；</w:t>
            </w:r>
            <w:r>
              <w:rPr>
                <w:rFonts w:hint="eastAsia" w:ascii="宋体" w:hAnsi="宋体" w:eastAsia="宋体" w:cs="宋体"/>
                <w:bCs/>
                <w:u w:val="single"/>
              </w:rPr>
              <w:t>可设配镜中心；</w:t>
            </w:r>
          </w:p>
          <w:p w14:paraId="237793DF">
            <w:pPr>
              <w:ind w:firstLine="480" w:firstLineChars="200"/>
              <w:rPr>
                <w:rFonts w:ascii="宋体" w:hAnsi="宋体" w:eastAsia="宋体" w:cs="宋体"/>
                <w:bCs/>
              </w:rPr>
            </w:pPr>
            <w:r>
              <w:rPr>
                <w:rFonts w:hint="eastAsia" w:ascii="宋体" w:hAnsi="宋体" w:eastAsia="宋体" w:cs="宋体"/>
                <w:bCs/>
              </w:rPr>
              <w:t>2 初检室和诊查室宜具备明暗转换装置；</w:t>
            </w:r>
          </w:p>
          <w:p w14:paraId="062C9368">
            <w:pPr>
              <w:ind w:firstLine="480" w:firstLineChars="200"/>
            </w:pPr>
            <w:r>
              <w:rPr>
                <w:rFonts w:hint="eastAsia" w:ascii="宋体" w:hAnsi="宋体" w:eastAsia="宋体" w:cs="宋体"/>
                <w:bCs/>
              </w:rPr>
              <w:t xml:space="preserve">3 </w:t>
            </w:r>
            <w:r>
              <w:rPr>
                <w:rFonts w:hint="eastAsia" w:ascii="宋体" w:hAnsi="宋体" w:eastAsia="宋体" w:cs="宋体"/>
                <w:bCs/>
                <w:u w:val="single"/>
              </w:rPr>
              <w:t>可</w:t>
            </w:r>
            <w:r>
              <w:rPr>
                <w:rFonts w:hint="eastAsia" w:ascii="宋体" w:hAnsi="宋体" w:eastAsia="宋体" w:cs="宋体"/>
                <w:bCs/>
              </w:rPr>
              <w:t>设置专用</w:t>
            </w:r>
            <w:r>
              <w:rPr>
                <w:rFonts w:hint="eastAsia" w:ascii="宋体" w:hAnsi="宋体" w:eastAsia="宋体" w:cs="宋体"/>
                <w:bCs/>
                <w:u w:val="single"/>
              </w:rPr>
              <w:t>门诊眼科</w:t>
            </w:r>
            <w:r>
              <w:rPr>
                <w:rFonts w:hint="eastAsia" w:ascii="宋体" w:hAnsi="宋体" w:eastAsia="宋体" w:cs="宋体"/>
                <w:bCs/>
              </w:rPr>
              <w:t>手术室</w:t>
            </w:r>
            <w:r>
              <w:rPr>
                <w:rFonts w:hint="eastAsia" w:ascii="宋体" w:hAnsi="宋体" w:eastAsia="宋体" w:cs="宋体"/>
                <w:bCs/>
                <w:u w:val="single"/>
              </w:rPr>
              <w:t>、准分子激光手术室等</w:t>
            </w:r>
            <w:r>
              <w:rPr>
                <w:rFonts w:hint="eastAsia" w:ascii="宋体" w:hAnsi="宋体" w:eastAsia="宋体" w:cs="宋体"/>
                <w:bCs/>
              </w:rPr>
              <w:t>。</w:t>
            </w:r>
          </w:p>
        </w:tc>
      </w:tr>
      <w:tr w14:paraId="6F822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1060503">
            <w:pPr>
              <w:widowControl/>
              <w:rPr>
                <w:rFonts w:ascii="宋体" w:hAnsi="宋体" w:eastAsia="宋体"/>
                <w:bCs/>
              </w:rPr>
            </w:pPr>
            <w:r>
              <w:rPr>
                <w:rFonts w:hint="eastAsia" w:ascii="宋体" w:hAnsi="宋体" w:eastAsia="宋体"/>
                <w:bCs/>
              </w:rPr>
              <w:t>5.2.9 口腔科用房设置应符合下列要求：</w:t>
            </w:r>
          </w:p>
          <w:p w14:paraId="1EFB19BC">
            <w:pPr>
              <w:ind w:firstLine="480" w:firstLineChars="200"/>
              <w:rPr>
                <w:rFonts w:ascii="宋体" w:hAnsi="宋体" w:eastAsia="宋体" w:cs="宋体"/>
                <w:bCs/>
              </w:rPr>
            </w:pPr>
            <w:r>
              <w:rPr>
                <w:rFonts w:hint="eastAsia" w:ascii="宋体" w:hAnsi="宋体" w:eastAsia="宋体" w:cs="宋体"/>
                <w:bCs/>
              </w:rPr>
              <w:t>1 应</w:t>
            </w:r>
            <w:r>
              <w:rPr>
                <w:rFonts w:hint="eastAsia" w:ascii="宋体" w:hAnsi="宋体" w:eastAsia="宋体" w:cs="宋体"/>
                <w:bCs/>
                <w:bdr w:val="single" w:color="auto" w:sz="4" w:space="0"/>
              </w:rPr>
              <w:t>增</w:t>
            </w:r>
            <w:r>
              <w:rPr>
                <w:rFonts w:hint="eastAsia" w:ascii="宋体" w:hAnsi="宋体" w:eastAsia="宋体" w:cs="宋体"/>
                <w:bCs/>
              </w:rPr>
              <w:t>设X线检查、</w:t>
            </w:r>
            <w:r>
              <w:rPr>
                <w:rFonts w:hint="eastAsia" w:ascii="宋体" w:hAnsi="宋体" w:eastAsia="宋体" w:cs="宋体"/>
                <w:bCs/>
                <w:bdr w:val="single" w:color="auto" w:sz="4" w:space="0"/>
              </w:rPr>
              <w:t>镶复</w:t>
            </w:r>
            <w:r>
              <w:rPr>
                <w:rFonts w:hint="eastAsia" w:ascii="宋体" w:hAnsi="宋体" w:eastAsia="宋体" w:cs="宋体"/>
                <w:bCs/>
              </w:rPr>
              <w:t>、消毒</w:t>
            </w:r>
            <w:r>
              <w:rPr>
                <w:rFonts w:hint="eastAsia" w:ascii="宋体" w:hAnsi="宋体" w:eastAsia="宋体" w:cs="宋体"/>
                <w:bCs/>
                <w:bdr w:val="single" w:color="auto" w:sz="4" w:space="0"/>
              </w:rPr>
              <w:t>洗涤</w:t>
            </w:r>
            <w:r>
              <w:rPr>
                <w:rFonts w:hint="eastAsia" w:ascii="宋体" w:hAnsi="宋体" w:eastAsia="宋体" w:cs="宋体"/>
                <w:bCs/>
              </w:rPr>
              <w:t>、</w:t>
            </w:r>
            <w:r>
              <w:rPr>
                <w:rFonts w:hint="eastAsia" w:ascii="宋体" w:hAnsi="宋体" w:eastAsia="宋体" w:cs="宋体"/>
                <w:bCs/>
                <w:bdr w:val="single" w:color="auto" w:sz="4" w:space="0"/>
              </w:rPr>
              <w:t>矫形</w:t>
            </w:r>
            <w:r>
              <w:rPr>
                <w:rFonts w:hint="eastAsia" w:ascii="宋体" w:hAnsi="宋体" w:eastAsia="宋体" w:cs="宋体"/>
                <w:bCs/>
              </w:rPr>
              <w:t>等用房；</w:t>
            </w:r>
            <w:r>
              <w:rPr>
                <w:rFonts w:ascii="宋体" w:hAnsi="宋体" w:eastAsia="宋体" w:cs="宋体"/>
                <w:bCs/>
              </w:rPr>
              <w:t xml:space="preserve"> </w:t>
            </w:r>
          </w:p>
          <w:p w14:paraId="22170C61">
            <w:pPr>
              <w:ind w:firstLine="480" w:firstLineChars="200"/>
              <w:rPr>
                <w:rFonts w:ascii="宋体" w:hAnsi="宋体" w:eastAsia="宋体" w:cs="宋体"/>
                <w:bCs/>
                <w:u w:val="single"/>
              </w:rPr>
            </w:pPr>
            <w:r>
              <w:rPr>
                <w:rFonts w:hint="eastAsia" w:ascii="宋体" w:hAnsi="宋体" w:eastAsia="宋体" w:cs="宋体"/>
                <w:bCs/>
              </w:rPr>
              <w:t>2 诊查单元每椅中距不应小于1.80m，椅中心距墙不应小于1.20m；</w:t>
            </w:r>
          </w:p>
          <w:p w14:paraId="694298DD">
            <w:pPr>
              <w:ind w:firstLine="480" w:firstLineChars="200"/>
              <w:rPr>
                <w:rFonts w:ascii="宋体" w:hAnsi="宋体" w:eastAsia="宋体" w:cs="宋体"/>
                <w:bCs/>
              </w:rPr>
            </w:pPr>
            <w:r>
              <w:rPr>
                <w:rFonts w:hint="eastAsia" w:ascii="宋体" w:hAnsi="宋体" w:eastAsia="宋体" w:cs="宋体"/>
                <w:bCs/>
              </w:rPr>
              <w:t>3</w:t>
            </w:r>
            <w:r>
              <w:rPr>
                <w:rFonts w:ascii="宋体" w:hAnsi="宋体" w:eastAsia="宋体" w:cs="宋体"/>
                <w:bCs/>
              </w:rPr>
              <w:t xml:space="preserve"> </w:t>
            </w:r>
            <w:r>
              <w:rPr>
                <w:rFonts w:hint="eastAsia" w:ascii="宋体" w:hAnsi="宋体" w:eastAsia="宋体" w:cs="宋体"/>
                <w:bCs/>
                <w:bdr w:val="single" w:color="auto" w:sz="4" w:space="0"/>
              </w:rPr>
              <w:t>镶复室宜考虑有良好的通风；</w:t>
            </w:r>
          </w:p>
          <w:p w14:paraId="04A441BC">
            <w:pPr>
              <w:ind w:firstLine="480" w:firstLineChars="200"/>
            </w:pPr>
            <w:r>
              <w:rPr>
                <w:rFonts w:hint="eastAsia" w:ascii="宋体" w:hAnsi="宋体" w:eastAsia="宋体" w:cs="宋体"/>
                <w:bCs/>
              </w:rPr>
              <w:t>4</w:t>
            </w:r>
            <w:r>
              <w:rPr>
                <w:rFonts w:ascii="宋体" w:hAnsi="宋体" w:eastAsia="宋体" w:cs="宋体"/>
                <w:bCs/>
              </w:rPr>
              <w:t xml:space="preserve"> </w:t>
            </w:r>
            <w:r>
              <w:rPr>
                <w:rFonts w:hint="eastAsia" w:ascii="宋体" w:hAnsi="宋体" w:eastAsia="宋体" w:cs="宋体"/>
                <w:bCs/>
                <w:bdr w:val="single" w:color="auto" w:sz="4" w:space="0"/>
              </w:rPr>
              <w:t>可设资料室</w:t>
            </w:r>
            <w:r>
              <w:rPr>
                <w:rFonts w:hint="eastAsia" w:ascii="宋体" w:hAnsi="宋体" w:eastAsia="宋体" w:cs="宋体"/>
                <w:bCs/>
              </w:rPr>
              <w:t>。</w:t>
            </w:r>
          </w:p>
        </w:tc>
        <w:tc>
          <w:tcPr>
            <w:tcW w:w="4261" w:type="dxa"/>
            <w:shd w:val="clear" w:color="auto" w:fill="auto"/>
          </w:tcPr>
          <w:p w14:paraId="543B250A">
            <w:pPr>
              <w:widowControl/>
              <w:rPr>
                <w:rFonts w:ascii="宋体" w:hAnsi="宋体" w:eastAsia="宋体"/>
                <w:bCs/>
              </w:rPr>
            </w:pPr>
            <w:r>
              <w:rPr>
                <w:rFonts w:hint="eastAsia" w:ascii="宋体" w:hAnsi="宋体" w:eastAsia="宋体"/>
                <w:bCs/>
              </w:rPr>
              <w:t>5.2.9 口腔科用房设置应符合下列要求：</w:t>
            </w:r>
          </w:p>
          <w:p w14:paraId="7C08E046">
            <w:pPr>
              <w:ind w:firstLine="480" w:firstLineChars="200"/>
              <w:rPr>
                <w:rFonts w:ascii="宋体" w:hAnsi="宋体" w:eastAsia="宋体" w:cs="宋体"/>
                <w:bCs/>
              </w:rPr>
            </w:pPr>
            <w:r>
              <w:rPr>
                <w:rFonts w:hint="eastAsia" w:ascii="宋体" w:hAnsi="宋体" w:eastAsia="宋体" w:cs="宋体"/>
                <w:bCs/>
              </w:rPr>
              <w:t>1 应设</w:t>
            </w:r>
            <w:r>
              <w:rPr>
                <w:rFonts w:hint="eastAsia" w:ascii="宋体" w:hAnsi="宋体" w:eastAsia="宋体" w:cs="宋体"/>
                <w:bCs/>
                <w:u w:val="single"/>
              </w:rPr>
              <w:t>诊室、</w:t>
            </w:r>
            <w:r>
              <w:rPr>
                <w:rFonts w:hint="eastAsia" w:ascii="宋体" w:hAnsi="宋体" w:eastAsia="宋体" w:cs="宋体"/>
                <w:bCs/>
              </w:rPr>
              <w:t>X线检查</w:t>
            </w:r>
            <w:r>
              <w:rPr>
                <w:rFonts w:hint="eastAsia" w:ascii="宋体" w:hAnsi="宋体" w:eastAsia="宋体" w:cs="宋体"/>
                <w:bCs/>
                <w:u w:val="single"/>
              </w:rPr>
              <w:t>室（包含数字牙片、数字全景机、CBCT等）</w:t>
            </w:r>
            <w:r>
              <w:rPr>
                <w:rFonts w:hint="eastAsia" w:ascii="宋体" w:hAnsi="宋体" w:eastAsia="宋体" w:cs="宋体"/>
                <w:bCs/>
              </w:rPr>
              <w:t>、</w:t>
            </w:r>
            <w:r>
              <w:rPr>
                <w:rFonts w:hint="eastAsia" w:ascii="宋体" w:hAnsi="宋体" w:eastAsia="宋体" w:cs="宋体"/>
                <w:bCs/>
                <w:u w:val="single"/>
              </w:rPr>
              <w:t>技工室、模型室</w:t>
            </w:r>
            <w:r>
              <w:rPr>
                <w:rFonts w:hint="eastAsia" w:ascii="宋体" w:hAnsi="宋体" w:eastAsia="宋体" w:cs="宋体"/>
                <w:bCs/>
              </w:rPr>
              <w:t>、</w:t>
            </w:r>
            <w:r>
              <w:rPr>
                <w:rFonts w:hint="eastAsia" w:ascii="宋体" w:hAnsi="宋体" w:eastAsia="宋体" w:cs="宋体"/>
                <w:bCs/>
                <w:u w:val="single"/>
              </w:rPr>
              <w:t>清洗</w:t>
            </w:r>
            <w:r>
              <w:rPr>
                <w:rFonts w:hint="eastAsia" w:ascii="宋体" w:hAnsi="宋体" w:eastAsia="宋体" w:cs="宋体"/>
                <w:bCs/>
              </w:rPr>
              <w:t>消毒</w:t>
            </w:r>
            <w:r>
              <w:rPr>
                <w:rFonts w:hint="eastAsia" w:ascii="宋体" w:hAnsi="宋体" w:eastAsia="宋体" w:cs="宋体"/>
                <w:bCs/>
                <w:u w:val="single"/>
              </w:rPr>
              <w:t>间</w:t>
            </w:r>
            <w:r>
              <w:rPr>
                <w:rFonts w:hint="eastAsia" w:ascii="宋体" w:hAnsi="宋体" w:eastAsia="宋体" w:cs="宋体"/>
                <w:bCs/>
              </w:rPr>
              <w:t>、</w:t>
            </w:r>
            <w:r>
              <w:rPr>
                <w:rFonts w:hint="eastAsia" w:ascii="宋体" w:hAnsi="宋体" w:eastAsia="宋体" w:cs="宋体"/>
                <w:bCs/>
                <w:u w:val="single"/>
              </w:rPr>
              <w:t>库房、空气压缩机房</w:t>
            </w:r>
            <w:r>
              <w:rPr>
                <w:rFonts w:hint="eastAsia" w:ascii="宋体" w:hAnsi="宋体" w:eastAsia="宋体" w:cs="宋体"/>
                <w:bCs/>
              </w:rPr>
              <w:t>等用房；</w:t>
            </w:r>
            <w:r>
              <w:rPr>
                <w:rFonts w:hint="eastAsia" w:ascii="宋体" w:hAnsi="宋体" w:eastAsia="宋体" w:cs="宋体"/>
                <w:bCs/>
                <w:u w:val="single"/>
              </w:rPr>
              <w:t>可设口腔种植手术室、门诊手术室、数字化工作室、儿童牙科诊室、纯水机房等。</w:t>
            </w:r>
          </w:p>
          <w:p w14:paraId="7B90CFFE">
            <w:pPr>
              <w:ind w:firstLine="480" w:firstLineChars="200"/>
              <w:rPr>
                <w:rFonts w:ascii="宋体" w:hAnsi="宋体" w:eastAsia="宋体" w:cs="宋体"/>
                <w:bCs/>
                <w:u w:val="single"/>
              </w:rPr>
            </w:pPr>
            <w:r>
              <w:rPr>
                <w:rFonts w:hint="eastAsia" w:ascii="宋体" w:hAnsi="宋体" w:eastAsia="宋体" w:cs="宋体"/>
                <w:bCs/>
              </w:rPr>
              <w:t>2 诊查单元每椅中距不应小于1.80m，椅中心距墙不应小于1.20m；</w:t>
            </w:r>
            <w:r>
              <w:rPr>
                <w:rFonts w:hint="eastAsia" w:ascii="宋体" w:hAnsi="宋体" w:eastAsia="宋体" w:cs="宋体"/>
                <w:bCs/>
                <w:u w:val="single"/>
              </w:rPr>
              <w:t>独立诊疗室尺寸不宜小于3m×5m，净使用面积不宜小于15m²；半开放诊疗室牙椅相对独立诊疗空间宽度宜为2.6m-3.0m，每台牙椅隔断区间净使用面积不宜少于9m²。</w:t>
            </w:r>
          </w:p>
          <w:p w14:paraId="7D883922">
            <w:pPr>
              <w:ind w:firstLine="480" w:firstLineChars="200"/>
              <w:rPr>
                <w:rFonts w:ascii="宋体" w:hAnsi="宋体" w:eastAsia="宋体" w:cs="宋体"/>
                <w:bCs/>
              </w:rPr>
            </w:pPr>
            <w:r>
              <w:rPr>
                <w:rFonts w:hint="eastAsia" w:ascii="宋体" w:hAnsi="宋体" w:eastAsia="宋体" w:cs="宋体"/>
                <w:bCs/>
              </w:rPr>
              <w:t>3</w:t>
            </w:r>
            <w:r>
              <w:rPr>
                <w:rFonts w:ascii="宋体" w:hAnsi="宋体" w:eastAsia="宋体" w:cs="宋体"/>
                <w:bCs/>
              </w:rPr>
              <w:t xml:space="preserve"> </w:t>
            </w:r>
            <w:r>
              <w:rPr>
                <w:rFonts w:hint="eastAsia" w:ascii="宋体" w:hAnsi="宋体" w:eastAsia="宋体" w:cs="宋体"/>
                <w:bCs/>
                <w:u w:val="single"/>
              </w:rPr>
              <w:t>每台牙椅应布置上下水、压缩空气、负压吸引等设施，宜配置医用氧气和医用纯水。</w:t>
            </w:r>
          </w:p>
          <w:p w14:paraId="2C7A6BB1">
            <w:pPr>
              <w:ind w:firstLine="480" w:firstLineChars="200"/>
            </w:pPr>
            <w:r>
              <w:rPr>
                <w:rFonts w:hint="eastAsia" w:ascii="宋体" w:hAnsi="宋体" w:eastAsia="宋体" w:cs="宋体"/>
                <w:bCs/>
              </w:rPr>
              <w:t>4</w:t>
            </w:r>
            <w:r>
              <w:rPr>
                <w:rFonts w:ascii="宋体" w:hAnsi="宋体" w:eastAsia="宋体" w:cs="宋体"/>
                <w:bCs/>
              </w:rPr>
              <w:t xml:space="preserve"> </w:t>
            </w:r>
            <w:r>
              <w:rPr>
                <w:rFonts w:hint="eastAsia" w:ascii="宋体" w:hAnsi="宋体" w:eastAsia="宋体" w:cs="宋体"/>
                <w:bCs/>
                <w:u w:val="single"/>
              </w:rPr>
              <w:t>技工室宜考虑有良好的通风设施</w:t>
            </w:r>
            <w:r>
              <w:rPr>
                <w:rFonts w:hint="eastAsia" w:ascii="宋体" w:hAnsi="宋体" w:eastAsia="宋体" w:cs="宋体"/>
                <w:bCs/>
              </w:rPr>
              <w:t>。</w:t>
            </w:r>
          </w:p>
        </w:tc>
      </w:tr>
      <w:tr w14:paraId="0E9B9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9F434C8"/>
        </w:tc>
        <w:tc>
          <w:tcPr>
            <w:tcW w:w="4261" w:type="dxa"/>
            <w:shd w:val="clear" w:color="auto" w:fill="auto"/>
          </w:tcPr>
          <w:p w14:paraId="38BF5F5D">
            <w:pPr>
              <w:rPr>
                <w:rFonts w:ascii="宋体" w:hAnsi="宋体" w:eastAsia="宋体" w:cs="宋体"/>
                <w:bCs/>
                <w:u w:val="single"/>
              </w:rPr>
            </w:pPr>
            <w:r>
              <w:rPr>
                <w:rFonts w:hint="eastAsia" w:ascii="宋体" w:hAnsi="宋体" w:eastAsia="宋体" w:cs="宋体"/>
                <w:bCs/>
                <w:u w:val="single"/>
              </w:rPr>
              <w:t>5.2.9</w:t>
            </w:r>
            <w:r>
              <w:rPr>
                <w:rFonts w:ascii="宋体" w:hAnsi="宋体" w:eastAsia="宋体" w:cs="宋体"/>
                <w:bCs/>
                <w:u w:val="single"/>
              </w:rPr>
              <w:t xml:space="preserve">A </w:t>
            </w:r>
            <w:r>
              <w:rPr>
                <w:rFonts w:hint="eastAsia" w:ascii="宋体" w:hAnsi="宋体" w:eastAsia="宋体" w:cs="宋体"/>
                <w:bCs/>
                <w:u w:val="single"/>
              </w:rPr>
              <w:t>中医门诊设置应符合下列要求：</w:t>
            </w:r>
          </w:p>
          <w:p w14:paraId="20BA4403">
            <w:pPr>
              <w:ind w:firstLine="480" w:firstLineChars="200"/>
              <w:rPr>
                <w:rFonts w:ascii="宋体" w:hAnsi="宋体" w:eastAsia="宋体" w:cs="宋体"/>
                <w:bCs/>
                <w:u w:val="single"/>
              </w:rPr>
            </w:pPr>
            <w:r>
              <w:rPr>
                <w:rFonts w:hint="eastAsia" w:ascii="宋体" w:hAnsi="宋体" w:eastAsia="宋体" w:cs="宋体"/>
                <w:bCs/>
                <w:u w:val="single"/>
              </w:rPr>
              <w:t>1 宜设诊室、针灸治疗室、推拿诊断治疗室等，可设针刀治疗室、牵引治疗室、灸法治疗室、熏蒸治疗室等。</w:t>
            </w:r>
          </w:p>
          <w:p w14:paraId="24CFEDAD">
            <w:pPr>
              <w:ind w:firstLine="480" w:firstLineChars="200"/>
              <w:rPr>
                <w:rFonts w:ascii="宋体" w:hAnsi="宋体" w:eastAsia="宋体" w:cs="宋体"/>
                <w:bCs/>
                <w:u w:val="single"/>
              </w:rPr>
            </w:pPr>
            <w:r>
              <w:rPr>
                <w:rFonts w:hint="eastAsia" w:ascii="宋体" w:hAnsi="宋体" w:eastAsia="宋体" w:cs="宋体"/>
                <w:bCs/>
                <w:u w:val="single"/>
              </w:rPr>
              <w:t>2 针灸治疗室一个单元宜设置4-6个床位，针灸治疗室和灸法治疗室应设置通风设施。</w:t>
            </w:r>
          </w:p>
          <w:p w14:paraId="0899C808">
            <w:pPr>
              <w:ind w:firstLine="480" w:firstLineChars="200"/>
            </w:pPr>
            <w:r>
              <w:rPr>
                <w:rFonts w:hint="eastAsia" w:ascii="宋体" w:hAnsi="宋体" w:eastAsia="宋体" w:cs="宋体"/>
                <w:bCs/>
                <w:u w:val="single"/>
              </w:rPr>
              <w:t>3 针刀治疗室应分为准备间和治疗室。</w:t>
            </w:r>
          </w:p>
        </w:tc>
      </w:tr>
      <w:tr w14:paraId="03043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22DA392"/>
        </w:tc>
        <w:tc>
          <w:tcPr>
            <w:tcW w:w="4261" w:type="dxa"/>
            <w:shd w:val="clear" w:color="auto" w:fill="auto"/>
          </w:tcPr>
          <w:p w14:paraId="198AA930">
            <w:pPr>
              <w:rPr>
                <w:rFonts w:ascii="宋体" w:hAnsi="宋体" w:eastAsia="宋体" w:cs="宋体"/>
                <w:bCs/>
                <w:u w:val="single"/>
              </w:rPr>
            </w:pPr>
            <w:r>
              <w:rPr>
                <w:rFonts w:hint="eastAsia" w:ascii="宋体" w:hAnsi="宋体" w:eastAsia="宋体" w:cs="宋体"/>
                <w:bCs/>
                <w:u w:val="single"/>
              </w:rPr>
              <w:t>5.2.9</w:t>
            </w:r>
            <w:r>
              <w:rPr>
                <w:rFonts w:ascii="宋体" w:hAnsi="宋体" w:eastAsia="宋体" w:cs="宋体"/>
                <w:bCs/>
                <w:u w:val="single"/>
              </w:rPr>
              <w:t xml:space="preserve">B </w:t>
            </w:r>
            <w:r>
              <w:rPr>
                <w:rFonts w:hint="eastAsia" w:ascii="宋体" w:hAnsi="宋体" w:eastAsia="宋体" w:cs="宋体"/>
                <w:bCs/>
                <w:u w:val="single"/>
              </w:rPr>
              <w:t>皮肤科门诊设置应符合下列要求：</w:t>
            </w:r>
          </w:p>
          <w:p w14:paraId="7789463D">
            <w:pPr>
              <w:ind w:firstLine="480" w:firstLineChars="200"/>
              <w:rPr>
                <w:rFonts w:ascii="宋体" w:hAnsi="宋体" w:eastAsia="宋体" w:cs="宋体"/>
                <w:bCs/>
                <w:u w:val="single"/>
              </w:rPr>
            </w:pPr>
            <w:r>
              <w:rPr>
                <w:rFonts w:hint="eastAsia" w:ascii="宋体" w:hAnsi="宋体" w:eastAsia="宋体" w:cs="宋体"/>
                <w:bCs/>
                <w:u w:val="single"/>
              </w:rPr>
              <w:t>1 应设诊室、专科检查室。</w:t>
            </w:r>
          </w:p>
          <w:p w14:paraId="68588E04">
            <w:pPr>
              <w:ind w:firstLine="480" w:firstLineChars="200"/>
              <w:rPr>
                <w:rFonts w:ascii="宋体" w:hAnsi="宋体" w:eastAsia="宋体" w:cs="宋体"/>
                <w:bCs/>
                <w:u w:val="single"/>
              </w:rPr>
            </w:pPr>
            <w:r>
              <w:rPr>
                <w:rFonts w:hint="eastAsia" w:ascii="宋体" w:hAnsi="宋体" w:eastAsia="宋体" w:cs="宋体"/>
                <w:bCs/>
                <w:u w:val="single"/>
              </w:rPr>
              <w:t>2</w:t>
            </w:r>
            <w:r>
              <w:rPr>
                <w:rFonts w:ascii="宋体" w:hAnsi="宋体" w:eastAsia="宋体" w:cs="宋体"/>
                <w:bCs/>
                <w:u w:val="single"/>
              </w:rPr>
              <w:t xml:space="preserve"> </w:t>
            </w:r>
            <w:r>
              <w:rPr>
                <w:rFonts w:hint="eastAsia" w:ascii="宋体" w:hAnsi="宋体" w:eastAsia="宋体" w:cs="宋体"/>
                <w:bCs/>
                <w:u w:val="single"/>
              </w:rPr>
              <w:t>设有性病诊疗的，应设性病诊室和性病治疗室；</w:t>
            </w:r>
          </w:p>
          <w:p w14:paraId="284D1309">
            <w:pPr>
              <w:ind w:firstLine="480" w:firstLineChars="200"/>
              <w:rPr>
                <w:rFonts w:ascii="宋体" w:hAnsi="宋体" w:eastAsia="宋体" w:cs="宋体"/>
                <w:bCs/>
                <w:u w:val="single"/>
              </w:rPr>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宜根据不同治疗类型设置不同功能的治疗室，包括激光、冷冻、光疗、药浴、皮肤护理等；</w:t>
            </w:r>
          </w:p>
          <w:p w14:paraId="0BE8F4CE">
            <w:pPr>
              <w:ind w:firstLine="480" w:firstLineChars="200"/>
            </w:pPr>
            <w:r>
              <w:rPr>
                <w:rFonts w:hint="eastAsia" w:ascii="宋体" w:hAnsi="宋体" w:eastAsia="宋体" w:cs="宋体"/>
                <w:bCs/>
                <w:u w:val="single"/>
              </w:rPr>
              <w:t>4 可设置皮肤病理室、皮肤外科门诊手术室等；皮肤外科门诊手术室也可与日间手术中心合并设置。</w:t>
            </w:r>
          </w:p>
        </w:tc>
      </w:tr>
      <w:tr w14:paraId="4BAA8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BB4159D"/>
        </w:tc>
        <w:tc>
          <w:tcPr>
            <w:tcW w:w="4261" w:type="dxa"/>
            <w:shd w:val="clear" w:color="auto" w:fill="auto"/>
          </w:tcPr>
          <w:p w14:paraId="104EB326">
            <w:pPr>
              <w:rPr>
                <w:rFonts w:ascii="宋体" w:hAnsi="宋体" w:eastAsia="宋体" w:cs="宋体"/>
                <w:bCs/>
                <w:u w:val="single"/>
              </w:rPr>
            </w:pPr>
            <w:r>
              <w:rPr>
                <w:rFonts w:hint="eastAsia" w:ascii="宋体" w:hAnsi="宋体" w:eastAsia="宋体" w:cs="宋体"/>
                <w:bCs/>
                <w:u w:val="single"/>
              </w:rPr>
              <w:t>5.2.9</w:t>
            </w:r>
            <w:r>
              <w:rPr>
                <w:rFonts w:ascii="宋体" w:hAnsi="宋体" w:eastAsia="宋体" w:cs="宋体"/>
                <w:bCs/>
                <w:u w:val="single"/>
              </w:rPr>
              <w:t xml:space="preserve">C </w:t>
            </w:r>
            <w:r>
              <w:rPr>
                <w:rFonts w:hint="eastAsia" w:ascii="宋体" w:hAnsi="宋体" w:eastAsia="宋体" w:cs="宋体"/>
                <w:bCs/>
                <w:u w:val="single"/>
              </w:rPr>
              <w:t>医学美容科用房设置应符合下列要求：</w:t>
            </w:r>
          </w:p>
          <w:p w14:paraId="363B68FC">
            <w:pPr>
              <w:ind w:firstLine="480" w:firstLineChars="200"/>
              <w:rPr>
                <w:rFonts w:ascii="宋体" w:hAnsi="宋体" w:eastAsia="宋体" w:cs="宋体"/>
                <w:bCs/>
                <w:u w:val="single"/>
              </w:rPr>
            </w:pPr>
            <w:r>
              <w:rPr>
                <w:rFonts w:hint="eastAsia" w:ascii="宋体" w:hAnsi="宋体" w:eastAsia="宋体" w:cs="宋体"/>
                <w:bCs/>
                <w:u w:val="single"/>
              </w:rPr>
              <w:t>1</w:t>
            </w:r>
            <w:r>
              <w:rPr>
                <w:rFonts w:ascii="宋体" w:hAnsi="宋体" w:eastAsia="宋体" w:cs="宋体"/>
                <w:bCs/>
                <w:u w:val="single"/>
              </w:rPr>
              <w:t xml:space="preserve"> </w:t>
            </w:r>
            <w:r>
              <w:rPr>
                <w:rFonts w:hint="eastAsia" w:ascii="宋体" w:hAnsi="宋体" w:eastAsia="宋体" w:cs="宋体"/>
                <w:bCs/>
                <w:u w:val="single"/>
              </w:rPr>
              <w:t>宜设置诊室、评估室、照相室、注射室、治疗室等；</w:t>
            </w:r>
          </w:p>
          <w:p w14:paraId="20375D85">
            <w:pPr>
              <w:ind w:firstLine="480" w:firstLineChars="200"/>
              <w:rPr>
                <w:rFonts w:ascii="宋体" w:hAnsi="宋体" w:eastAsia="宋体" w:cs="宋体"/>
                <w:bCs/>
                <w:u w:val="single"/>
              </w:rPr>
            </w:pPr>
            <w:r>
              <w:rPr>
                <w:rFonts w:hint="eastAsia" w:ascii="宋体" w:hAnsi="宋体" w:eastAsia="宋体" w:cs="宋体"/>
                <w:bCs/>
                <w:u w:val="single"/>
              </w:rPr>
              <w:t>2 可根据不同的美容治疗类型设置不同的治疗室；</w:t>
            </w:r>
          </w:p>
          <w:p w14:paraId="36ADFC08">
            <w:pPr>
              <w:ind w:firstLine="480" w:firstLineChars="200"/>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可单独设置门诊手术室，方便进行小型手术；并设置配套的准备间、术后恢复室、观察室等</w:t>
            </w:r>
            <w:r>
              <w:rPr>
                <w:rFonts w:ascii="宋体" w:hAnsi="宋体" w:eastAsia="宋体" w:cs="宋体"/>
                <w:bCs/>
                <w:u w:val="single"/>
              </w:rPr>
              <w:t>。</w:t>
            </w:r>
          </w:p>
        </w:tc>
      </w:tr>
      <w:tr w14:paraId="5D64A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E2357CA"/>
        </w:tc>
        <w:tc>
          <w:tcPr>
            <w:tcW w:w="4261" w:type="dxa"/>
            <w:shd w:val="clear" w:color="auto" w:fill="auto"/>
          </w:tcPr>
          <w:p w14:paraId="06D277BC">
            <w:pPr>
              <w:rPr>
                <w:rFonts w:ascii="宋体" w:hAnsi="宋体" w:eastAsia="宋体" w:cs="宋体"/>
                <w:bCs/>
                <w:u w:val="single"/>
              </w:rPr>
            </w:pPr>
            <w:r>
              <w:rPr>
                <w:rFonts w:hint="eastAsia" w:ascii="宋体" w:hAnsi="宋体" w:eastAsia="宋体" w:cs="宋体"/>
                <w:bCs/>
                <w:u w:val="single"/>
              </w:rPr>
              <w:t>5.2.9</w:t>
            </w:r>
            <w:r>
              <w:rPr>
                <w:rFonts w:ascii="宋体" w:hAnsi="宋体" w:eastAsia="宋体" w:cs="宋体"/>
                <w:bCs/>
                <w:u w:val="single"/>
              </w:rPr>
              <w:t xml:space="preserve">D </w:t>
            </w:r>
            <w:r>
              <w:rPr>
                <w:rFonts w:hint="eastAsia" w:ascii="宋体" w:hAnsi="宋体" w:eastAsia="宋体" w:cs="宋体"/>
                <w:bCs/>
                <w:u w:val="single"/>
              </w:rPr>
              <w:t>其他门诊用房设置应符合下列要求：</w:t>
            </w:r>
          </w:p>
          <w:p w14:paraId="53481334">
            <w:pPr>
              <w:ind w:firstLine="480" w:firstLineChars="200"/>
              <w:rPr>
                <w:rFonts w:ascii="宋体" w:hAnsi="宋体" w:eastAsia="宋体" w:cs="宋体"/>
                <w:bCs/>
                <w:u w:val="single"/>
              </w:rPr>
            </w:pPr>
            <w:r>
              <w:rPr>
                <w:rFonts w:hint="eastAsia" w:ascii="宋体" w:hAnsi="宋体" w:eastAsia="宋体" w:cs="宋体"/>
                <w:bCs/>
                <w:u w:val="single"/>
              </w:rPr>
              <w:t>1</w:t>
            </w:r>
            <w:r>
              <w:rPr>
                <w:rFonts w:ascii="宋体" w:hAnsi="宋体" w:eastAsia="宋体" w:cs="宋体"/>
                <w:bCs/>
                <w:u w:val="single"/>
              </w:rPr>
              <w:t xml:space="preserve"> </w:t>
            </w:r>
            <w:r>
              <w:rPr>
                <w:rFonts w:hint="eastAsia" w:ascii="宋体" w:hAnsi="宋体" w:eastAsia="宋体" w:cs="宋体"/>
                <w:bCs/>
                <w:u w:val="single"/>
              </w:rPr>
              <w:t>肿瘤科、疼痛科、肛肠科等科室可独立或合并设置，并根据专科特点设置诊室、治疗室和检查室；</w:t>
            </w:r>
          </w:p>
          <w:p w14:paraId="0F159CAB">
            <w:pPr>
              <w:ind w:firstLine="480" w:firstLineChars="200"/>
              <w:rPr>
                <w:rFonts w:ascii="宋体" w:hAnsi="宋体" w:eastAsia="宋体" w:cs="宋体"/>
                <w:bCs/>
                <w:u w:val="single"/>
              </w:rPr>
            </w:pPr>
            <w:r>
              <w:rPr>
                <w:rFonts w:hint="eastAsia" w:ascii="宋体" w:hAnsi="宋体" w:eastAsia="宋体" w:cs="宋体"/>
                <w:bCs/>
                <w:u w:val="single"/>
              </w:rPr>
              <w:t>2 宜设综合门诊诊疗单元，开设护理、影像、营养、药学、多学科会诊MDT等门诊；</w:t>
            </w:r>
            <w:r>
              <w:rPr>
                <w:rFonts w:ascii="宋体" w:hAnsi="宋体" w:eastAsia="宋体"/>
                <w:u w:val="single"/>
              </w:rPr>
              <w:t>护理门诊需要进行置管</w:t>
            </w:r>
            <w:r>
              <w:rPr>
                <w:rFonts w:hint="eastAsia" w:ascii="宋体" w:hAnsi="宋体" w:eastAsia="宋体"/>
                <w:u w:val="single"/>
              </w:rPr>
              <w:t>、</w:t>
            </w:r>
            <w:r>
              <w:rPr>
                <w:rFonts w:ascii="宋体" w:hAnsi="宋体" w:eastAsia="宋体"/>
                <w:u w:val="single"/>
              </w:rPr>
              <w:t>换药等操作的</w:t>
            </w:r>
            <w:r>
              <w:rPr>
                <w:rFonts w:hint="eastAsia" w:ascii="宋体" w:hAnsi="宋体" w:eastAsia="宋体"/>
                <w:u w:val="single"/>
              </w:rPr>
              <w:t>，</w:t>
            </w:r>
            <w:r>
              <w:rPr>
                <w:rFonts w:ascii="宋体" w:hAnsi="宋体" w:eastAsia="宋体"/>
                <w:u w:val="single"/>
              </w:rPr>
              <w:t>应设置治疗室</w:t>
            </w:r>
            <w:r>
              <w:rPr>
                <w:rFonts w:ascii="宋体" w:hAnsi="宋体" w:eastAsia="宋体"/>
              </w:rPr>
              <w:t>；</w:t>
            </w:r>
          </w:p>
          <w:p w14:paraId="4B27F961">
            <w:pPr>
              <w:ind w:firstLine="480" w:firstLineChars="200"/>
              <w:rPr>
                <w:rFonts w:ascii="宋体" w:hAnsi="宋体" w:eastAsia="宋体" w:cs="宋体"/>
                <w:bCs/>
                <w:u w:val="single"/>
              </w:rPr>
            </w:pPr>
            <w:r>
              <w:rPr>
                <w:rFonts w:hint="eastAsia" w:ascii="宋体" w:hAnsi="宋体" w:eastAsia="宋体" w:cs="宋体"/>
                <w:bCs/>
                <w:u w:val="single"/>
              </w:rPr>
              <w:t>3 药学门诊也可设在门诊药房附近，兼做药物咨询室；</w:t>
            </w:r>
          </w:p>
          <w:p w14:paraId="5796CCFD">
            <w:pPr>
              <w:ind w:firstLine="480" w:firstLineChars="200"/>
              <w:rPr>
                <w:rFonts w:ascii="宋体" w:hAnsi="宋体" w:eastAsia="宋体" w:cs="宋体"/>
                <w:bCs/>
                <w:u w:val="single"/>
              </w:rPr>
            </w:pPr>
            <w:r>
              <w:rPr>
                <w:rFonts w:hint="eastAsia" w:ascii="宋体" w:hAnsi="宋体" w:eastAsia="宋体" w:cs="宋体"/>
                <w:bCs/>
                <w:u w:val="single"/>
              </w:rPr>
              <w:t>4 超声医学科门诊可设在超声医学科；</w:t>
            </w:r>
          </w:p>
          <w:p w14:paraId="5CEBCEAD">
            <w:pPr>
              <w:ind w:firstLine="480" w:firstLineChars="200"/>
            </w:pPr>
            <w:r>
              <w:rPr>
                <w:rFonts w:hint="eastAsia" w:ascii="宋体" w:hAnsi="宋体" w:eastAsia="宋体" w:cs="宋体"/>
                <w:bCs/>
                <w:u w:val="single"/>
              </w:rPr>
              <w:t>5 设置专家门诊、高级专家门诊、涉外国际门诊的，宜适应不同服务和运营模式设置一体化诊疗单元。</w:t>
            </w:r>
          </w:p>
        </w:tc>
      </w:tr>
      <w:tr w14:paraId="212DB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3CEC4EE">
            <w:pPr>
              <w:rPr>
                <w:rFonts w:ascii="宋体" w:hAnsi="宋体" w:eastAsia="宋体" w:cs="黑体"/>
              </w:rPr>
            </w:pPr>
            <w:r>
              <w:rPr>
                <w:rFonts w:hint="eastAsia" w:ascii="宋体" w:hAnsi="宋体" w:eastAsia="宋体" w:cs="黑体"/>
              </w:rPr>
              <w:t>5.2.10 门诊手术用房设置应符合下列要求：</w:t>
            </w:r>
          </w:p>
          <w:p w14:paraId="0E65CA23">
            <w:pPr>
              <w:ind w:firstLine="480" w:firstLineChars="200"/>
              <w:rPr>
                <w:rFonts w:ascii="宋体" w:hAnsi="宋体" w:eastAsia="宋体" w:cs="黑体"/>
              </w:rPr>
            </w:pPr>
            <w:r>
              <w:rPr>
                <w:rFonts w:hint="eastAsia" w:ascii="宋体" w:hAnsi="宋体" w:eastAsia="宋体" w:cs="黑体"/>
              </w:rPr>
              <w:t>1 门诊手术用房可与手术部合并设置</w:t>
            </w:r>
            <w:r>
              <w:rPr>
                <w:rFonts w:ascii="宋体" w:hAnsi="宋体" w:eastAsia="宋体" w:cs="黑体"/>
              </w:rPr>
              <w:t>。</w:t>
            </w:r>
          </w:p>
          <w:p w14:paraId="21D9F20C">
            <w:pPr>
              <w:ind w:firstLine="480" w:firstLineChars="200"/>
            </w:pPr>
            <w:r>
              <w:rPr>
                <w:rFonts w:hint="eastAsia" w:ascii="宋体" w:hAnsi="宋体" w:eastAsia="宋体" w:cs="黑体"/>
              </w:rPr>
              <w:t>2</w:t>
            </w:r>
            <w:r>
              <w:rPr>
                <w:rFonts w:ascii="宋体" w:hAnsi="宋体" w:eastAsia="宋体" w:cs="黑体"/>
              </w:rPr>
              <w:t xml:space="preserve"> </w:t>
            </w:r>
            <w:r>
              <w:rPr>
                <w:rFonts w:hint="eastAsia" w:ascii="宋体" w:hAnsi="宋体" w:eastAsia="宋体" w:cs="黑体"/>
              </w:rPr>
              <w:t>门诊手术用房应由</w:t>
            </w:r>
            <w:r>
              <w:rPr>
                <w:rFonts w:ascii="宋体" w:hAnsi="宋体" w:eastAsia="宋体" w:cs="宋体"/>
                <w:bCs/>
              </w:rPr>
              <w:t>手</w:t>
            </w:r>
            <w:r>
              <w:rPr>
                <w:rFonts w:hint="eastAsia" w:ascii="宋体" w:hAnsi="宋体" w:eastAsia="宋体" w:cs="宋体"/>
                <w:bCs/>
              </w:rPr>
              <w:t>术</w:t>
            </w:r>
            <w:r>
              <w:rPr>
                <w:rFonts w:hint="eastAsia" w:ascii="宋体" w:hAnsi="宋体" w:eastAsia="宋体" w:cs="黑体"/>
              </w:rPr>
              <w:t>室、准备室、更衣室、术后休息和污物</w:t>
            </w:r>
            <w:r>
              <w:rPr>
                <w:rFonts w:hint="eastAsia" w:ascii="宋体" w:hAnsi="宋体" w:eastAsia="宋体" w:cs="黑体"/>
                <w:bdr w:val="single" w:color="auto" w:sz="4" w:space="0"/>
              </w:rPr>
              <w:t>室</w:t>
            </w:r>
            <w:r>
              <w:rPr>
                <w:rFonts w:hint="eastAsia" w:ascii="宋体" w:hAnsi="宋体" w:eastAsia="宋体" w:cs="黑体"/>
              </w:rPr>
              <w:t>组成。手术室平面尺寸不宜小于3.60m×4.80m。</w:t>
            </w:r>
          </w:p>
        </w:tc>
        <w:tc>
          <w:tcPr>
            <w:tcW w:w="4261" w:type="dxa"/>
            <w:shd w:val="clear" w:color="auto" w:fill="auto"/>
          </w:tcPr>
          <w:p w14:paraId="4CD8F942">
            <w:pPr>
              <w:rPr>
                <w:rFonts w:ascii="宋体" w:hAnsi="宋体" w:eastAsia="宋体" w:cs="黑体"/>
              </w:rPr>
            </w:pPr>
            <w:r>
              <w:rPr>
                <w:rFonts w:hint="eastAsia" w:ascii="宋体" w:hAnsi="宋体" w:eastAsia="宋体" w:cs="黑体"/>
              </w:rPr>
              <w:t>5.2.10 门诊手术用房设置应符合下列要求：</w:t>
            </w:r>
          </w:p>
          <w:p w14:paraId="52BB2A28">
            <w:pPr>
              <w:ind w:firstLine="480" w:firstLineChars="200"/>
              <w:rPr>
                <w:rFonts w:ascii="宋体" w:hAnsi="宋体" w:eastAsia="宋体" w:cs="黑体"/>
              </w:rPr>
            </w:pPr>
            <w:r>
              <w:rPr>
                <w:rFonts w:hint="eastAsia" w:ascii="宋体" w:hAnsi="宋体" w:eastAsia="宋体" w:cs="黑体"/>
              </w:rPr>
              <w:t>1 门诊手术用房可与手术部</w:t>
            </w:r>
            <w:r>
              <w:rPr>
                <w:rFonts w:hint="eastAsia" w:ascii="宋体" w:hAnsi="宋体" w:eastAsia="宋体" w:cs="宋体"/>
                <w:bCs/>
                <w:u w:val="single"/>
              </w:rPr>
              <w:t>或日间手术中心</w:t>
            </w:r>
            <w:r>
              <w:rPr>
                <w:rFonts w:hint="eastAsia" w:ascii="宋体" w:hAnsi="宋体" w:eastAsia="宋体" w:cs="黑体"/>
              </w:rPr>
              <w:t>合并设置</w:t>
            </w:r>
            <w:r>
              <w:rPr>
                <w:rFonts w:ascii="宋体" w:hAnsi="宋体" w:eastAsia="宋体" w:cs="黑体"/>
              </w:rPr>
              <w:t>。</w:t>
            </w:r>
          </w:p>
          <w:p w14:paraId="4127712E">
            <w:pPr>
              <w:ind w:firstLine="480" w:firstLineChars="200"/>
            </w:pPr>
            <w:r>
              <w:rPr>
                <w:rFonts w:hint="eastAsia" w:ascii="宋体" w:hAnsi="宋体" w:eastAsia="宋体" w:cs="黑体"/>
              </w:rPr>
              <w:t xml:space="preserve">2 </w:t>
            </w:r>
            <w:r>
              <w:rPr>
                <w:rFonts w:hint="eastAsia" w:ascii="宋体" w:hAnsi="宋体" w:eastAsia="宋体" w:cs="宋体"/>
                <w:bCs/>
                <w:u w:val="single"/>
              </w:rPr>
              <w:t>集中设置的</w:t>
            </w:r>
            <w:r>
              <w:rPr>
                <w:rFonts w:hint="eastAsia" w:ascii="宋体" w:hAnsi="宋体" w:eastAsia="宋体" w:cs="黑体"/>
              </w:rPr>
              <w:t>门诊手术用房应由</w:t>
            </w:r>
            <w:r>
              <w:rPr>
                <w:rFonts w:hint="eastAsia" w:ascii="宋体" w:hAnsi="宋体" w:eastAsia="宋体" w:cs="宋体"/>
                <w:bCs/>
                <w:u w:val="single"/>
              </w:rPr>
              <w:t>护士站、病患更衣室</w:t>
            </w:r>
            <w:r>
              <w:rPr>
                <w:rFonts w:ascii="宋体" w:hAnsi="宋体" w:eastAsia="宋体" w:cs="宋体"/>
                <w:bCs/>
                <w:u w:val="single"/>
              </w:rPr>
              <w:t>、</w:t>
            </w:r>
            <w:r>
              <w:rPr>
                <w:rFonts w:hint="eastAsia" w:ascii="宋体" w:hAnsi="宋体" w:eastAsia="宋体" w:cs="宋体"/>
                <w:bCs/>
                <w:u w:val="single"/>
              </w:rPr>
              <w:t>谈话间、</w:t>
            </w:r>
            <w:r>
              <w:rPr>
                <w:rFonts w:ascii="宋体" w:hAnsi="宋体" w:eastAsia="宋体" w:cs="宋体"/>
                <w:bCs/>
              </w:rPr>
              <w:t>手</w:t>
            </w:r>
            <w:r>
              <w:rPr>
                <w:rFonts w:hint="eastAsia" w:ascii="宋体" w:hAnsi="宋体" w:eastAsia="宋体" w:cs="宋体"/>
                <w:bCs/>
              </w:rPr>
              <w:t>术</w:t>
            </w:r>
            <w:r>
              <w:rPr>
                <w:rFonts w:hint="eastAsia" w:ascii="宋体" w:hAnsi="宋体" w:eastAsia="宋体" w:cs="黑体"/>
              </w:rPr>
              <w:t>室、准备室、</w:t>
            </w:r>
            <w:r>
              <w:rPr>
                <w:rFonts w:hint="eastAsia" w:ascii="宋体" w:hAnsi="宋体" w:eastAsia="宋体" w:cs="宋体"/>
                <w:bCs/>
                <w:u w:val="single"/>
              </w:rPr>
              <w:t>医护</w:t>
            </w:r>
            <w:r>
              <w:rPr>
                <w:rFonts w:hint="eastAsia" w:ascii="宋体" w:hAnsi="宋体" w:eastAsia="宋体" w:cs="黑体"/>
              </w:rPr>
              <w:t>更衣室、</w:t>
            </w:r>
            <w:r>
              <w:rPr>
                <w:rFonts w:hint="eastAsia" w:ascii="宋体" w:hAnsi="宋体" w:eastAsia="宋体" w:cs="宋体"/>
                <w:bCs/>
                <w:u w:val="single"/>
              </w:rPr>
              <w:t>预麻复苏室、物品准备间、</w:t>
            </w:r>
            <w:r>
              <w:rPr>
                <w:rFonts w:hint="eastAsia" w:ascii="宋体" w:hAnsi="宋体" w:eastAsia="宋体" w:cs="黑体"/>
              </w:rPr>
              <w:t>术后休息</w:t>
            </w:r>
            <w:r>
              <w:rPr>
                <w:rFonts w:hint="eastAsia" w:ascii="宋体" w:hAnsi="宋体" w:eastAsia="宋体" w:cs="宋体"/>
                <w:bCs/>
                <w:u w:val="single"/>
              </w:rPr>
              <w:t>观察室</w:t>
            </w:r>
            <w:r>
              <w:rPr>
                <w:rFonts w:hint="eastAsia" w:ascii="宋体" w:hAnsi="宋体" w:eastAsia="宋体" w:cs="黑体"/>
              </w:rPr>
              <w:t>和污物</w:t>
            </w:r>
            <w:r>
              <w:rPr>
                <w:rFonts w:hint="eastAsia" w:ascii="宋体" w:hAnsi="宋体" w:eastAsia="宋体" w:cs="宋体"/>
                <w:bCs/>
                <w:u w:val="single"/>
              </w:rPr>
              <w:t>暂存间等</w:t>
            </w:r>
            <w:r>
              <w:rPr>
                <w:rFonts w:hint="eastAsia" w:ascii="宋体" w:hAnsi="宋体" w:eastAsia="宋体" w:cs="黑体"/>
              </w:rPr>
              <w:t>组成。手术室平面尺寸不宜小于3.60m×4.80m。</w:t>
            </w:r>
          </w:p>
        </w:tc>
      </w:tr>
      <w:tr w14:paraId="1C0C4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A089B7D">
            <w:pPr>
              <w:widowControl/>
              <w:rPr>
                <w:rFonts w:ascii="宋体" w:hAnsi="宋体" w:eastAsia="宋体"/>
                <w:bCs/>
              </w:rPr>
            </w:pPr>
            <w:r>
              <w:rPr>
                <w:rFonts w:hint="eastAsia" w:ascii="宋体" w:hAnsi="宋体" w:eastAsia="宋体"/>
                <w:bCs/>
              </w:rPr>
              <w:t xml:space="preserve">5.2.11 </w:t>
            </w:r>
            <w:r>
              <w:rPr>
                <w:rFonts w:hint="eastAsia" w:ascii="宋体" w:hAnsi="宋体" w:eastAsia="宋体"/>
                <w:bCs/>
                <w:bdr w:val="single" w:color="auto" w:sz="4" w:space="0"/>
              </w:rPr>
              <w:t>门诊</w:t>
            </w:r>
            <w:r>
              <w:rPr>
                <w:rFonts w:hint="eastAsia" w:ascii="宋体" w:hAnsi="宋体" w:eastAsia="宋体"/>
                <w:bCs/>
              </w:rPr>
              <w:t>卫生间设置应符合下列要求：</w:t>
            </w:r>
          </w:p>
          <w:p w14:paraId="4741ECDE">
            <w:pPr>
              <w:ind w:firstLine="480" w:firstLineChars="200"/>
              <w:rPr>
                <w:rFonts w:ascii="宋体" w:hAnsi="宋体" w:eastAsia="宋体" w:cs="宋体"/>
                <w:bCs/>
              </w:rPr>
            </w:pPr>
            <w:r>
              <w:rPr>
                <w:rFonts w:hint="eastAsia" w:ascii="宋体" w:hAnsi="宋体" w:eastAsia="宋体" w:cs="宋体"/>
                <w:bCs/>
              </w:rPr>
              <w:t>1 卫生间宜按日门诊量计算，男女</w:t>
            </w:r>
            <w:r>
              <w:rPr>
                <w:rFonts w:hint="eastAsia" w:ascii="宋体" w:hAnsi="宋体" w:eastAsia="宋体"/>
                <w:bCs/>
                <w:bdr w:val="single" w:color="auto" w:sz="4" w:space="0"/>
              </w:rPr>
              <w:t>患者</w:t>
            </w:r>
            <w:r>
              <w:rPr>
                <w:rFonts w:hint="eastAsia" w:ascii="宋体" w:hAnsi="宋体" w:eastAsia="宋体" w:cs="宋体"/>
                <w:bCs/>
              </w:rPr>
              <w:t>比例宜为</w:t>
            </w:r>
            <w:r>
              <w:rPr>
                <w:rFonts w:hint="eastAsia" w:ascii="宋体" w:hAnsi="宋体" w:eastAsia="宋体" w:cs="宋体"/>
                <w:bCs/>
                <w:bdr w:val="single" w:color="auto" w:sz="4" w:space="0"/>
              </w:rPr>
              <w:t>1：1</w:t>
            </w:r>
            <w:r>
              <w:rPr>
                <w:rFonts w:hint="eastAsia" w:ascii="宋体" w:hAnsi="宋体" w:eastAsia="宋体" w:cs="宋体"/>
                <w:bCs/>
              </w:rPr>
              <w:t>；</w:t>
            </w:r>
          </w:p>
          <w:p w14:paraId="4728CE0D">
            <w:pPr>
              <w:ind w:firstLine="480" w:firstLineChars="200"/>
              <w:rPr>
                <w:rFonts w:ascii="宋体" w:hAnsi="宋体" w:eastAsia="宋体" w:cs="宋体"/>
                <w:bCs/>
              </w:rPr>
            </w:pPr>
            <w:r>
              <w:rPr>
                <w:rFonts w:hint="eastAsia" w:ascii="宋体" w:hAnsi="宋体" w:eastAsia="宋体" w:cs="宋体"/>
                <w:bCs/>
              </w:rPr>
              <w:t>2 男厕每100人次设大便器不应小于1个、小便器不应小于1个；</w:t>
            </w:r>
          </w:p>
          <w:p w14:paraId="0375948E">
            <w:pPr>
              <w:ind w:firstLine="480" w:firstLineChars="200"/>
              <w:rPr>
                <w:rFonts w:ascii="宋体" w:hAnsi="宋体" w:eastAsia="宋体" w:cs="宋体"/>
                <w:bCs/>
              </w:rPr>
            </w:pPr>
            <w:r>
              <w:rPr>
                <w:rFonts w:hint="eastAsia" w:ascii="宋体" w:hAnsi="宋体" w:eastAsia="宋体" w:cs="宋体"/>
                <w:bCs/>
              </w:rPr>
              <w:t>3 女厕每100人次设大便器不应小于3个；</w:t>
            </w:r>
          </w:p>
          <w:p w14:paraId="5407061C">
            <w:pPr>
              <w:ind w:firstLine="480" w:firstLineChars="200"/>
            </w:pPr>
            <w:r>
              <w:rPr>
                <w:rFonts w:hint="eastAsia" w:ascii="宋体" w:hAnsi="宋体" w:eastAsia="宋体" w:cs="宋体"/>
                <w:bCs/>
              </w:rPr>
              <w:t>4 应按本规范第5.1.13条的要求设置。</w:t>
            </w:r>
          </w:p>
        </w:tc>
        <w:tc>
          <w:tcPr>
            <w:tcW w:w="4261" w:type="dxa"/>
            <w:shd w:val="clear" w:color="auto" w:fill="auto"/>
          </w:tcPr>
          <w:p w14:paraId="150C9D7A">
            <w:pPr>
              <w:widowControl/>
              <w:rPr>
                <w:rFonts w:ascii="宋体" w:hAnsi="宋体" w:eastAsia="宋体"/>
                <w:bCs/>
              </w:rPr>
            </w:pPr>
            <w:r>
              <w:rPr>
                <w:rFonts w:hint="eastAsia" w:ascii="宋体" w:hAnsi="宋体" w:eastAsia="宋体"/>
                <w:bCs/>
              </w:rPr>
              <w:t xml:space="preserve">5.2.11 </w:t>
            </w:r>
            <w:r>
              <w:rPr>
                <w:rFonts w:hint="eastAsia" w:ascii="宋体" w:hAnsi="宋体" w:eastAsia="宋体" w:cs="宋体"/>
                <w:bCs/>
                <w:u w:val="single"/>
              </w:rPr>
              <w:t>公共</w:t>
            </w:r>
            <w:r>
              <w:rPr>
                <w:rFonts w:hint="eastAsia" w:ascii="宋体" w:hAnsi="宋体" w:eastAsia="宋体"/>
                <w:bCs/>
              </w:rPr>
              <w:t>卫生间设置应符合下列要求：</w:t>
            </w:r>
          </w:p>
          <w:p w14:paraId="20021CA0">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u w:val="single"/>
              </w:rPr>
              <w:t>公共</w:t>
            </w:r>
            <w:r>
              <w:rPr>
                <w:rFonts w:hint="eastAsia" w:ascii="宋体" w:hAnsi="宋体" w:eastAsia="宋体" w:cs="宋体"/>
                <w:bCs/>
              </w:rPr>
              <w:t>卫生间宜按日门诊量计算，男女</w:t>
            </w:r>
            <w:r>
              <w:rPr>
                <w:rFonts w:hint="eastAsia" w:ascii="宋体" w:hAnsi="宋体" w:eastAsia="宋体" w:cs="黑体"/>
                <w:u w:val="single"/>
              </w:rPr>
              <w:t>厕位</w:t>
            </w:r>
            <w:r>
              <w:rPr>
                <w:rFonts w:hint="eastAsia" w:ascii="宋体" w:hAnsi="宋体" w:eastAsia="宋体" w:cs="宋体"/>
                <w:bCs/>
              </w:rPr>
              <w:t>比例宜为</w:t>
            </w:r>
            <w:r>
              <w:rPr>
                <w:rFonts w:hint="eastAsia" w:ascii="宋体" w:hAnsi="宋体" w:eastAsia="宋体" w:cs="黑体"/>
                <w:u w:val="single"/>
              </w:rPr>
              <w:t>1：1.5～1：2；妇产科门诊和儿科门诊的卫生间设置应符合专科人群特点</w:t>
            </w:r>
            <w:r>
              <w:rPr>
                <w:rFonts w:hint="eastAsia" w:ascii="宋体" w:hAnsi="宋体" w:eastAsia="宋体" w:cs="宋体"/>
                <w:bCs/>
              </w:rPr>
              <w:t>；</w:t>
            </w:r>
          </w:p>
          <w:p w14:paraId="0C10EEA9">
            <w:pPr>
              <w:ind w:firstLine="480" w:firstLineChars="200"/>
              <w:rPr>
                <w:rFonts w:ascii="宋体" w:hAnsi="宋体" w:eastAsia="宋体" w:cs="宋体"/>
                <w:bCs/>
              </w:rPr>
            </w:pPr>
            <w:r>
              <w:rPr>
                <w:rFonts w:hint="eastAsia" w:ascii="宋体" w:hAnsi="宋体" w:eastAsia="宋体" w:cs="宋体"/>
                <w:bCs/>
              </w:rPr>
              <w:t>2 男厕每100人次设大便器不应小于1个、小便器不应小于1个；</w:t>
            </w:r>
          </w:p>
          <w:p w14:paraId="4D0408CC">
            <w:pPr>
              <w:ind w:firstLine="480" w:firstLineChars="200"/>
              <w:rPr>
                <w:rFonts w:ascii="宋体" w:hAnsi="宋体" w:eastAsia="宋体" w:cs="宋体"/>
                <w:bCs/>
              </w:rPr>
            </w:pPr>
            <w:r>
              <w:rPr>
                <w:rFonts w:hint="eastAsia" w:ascii="宋体" w:hAnsi="宋体" w:eastAsia="宋体" w:cs="宋体"/>
                <w:bCs/>
              </w:rPr>
              <w:t>3 女厕每100人次设大便器不应小于3个；</w:t>
            </w:r>
          </w:p>
          <w:p w14:paraId="2C824135">
            <w:pPr>
              <w:ind w:firstLine="480" w:firstLineChars="200"/>
            </w:pPr>
            <w:r>
              <w:rPr>
                <w:rFonts w:hint="eastAsia" w:ascii="宋体" w:hAnsi="宋体" w:eastAsia="宋体" w:cs="宋体"/>
                <w:bCs/>
              </w:rPr>
              <w:t>4 应按本规范第5.1.13条的要求设置。</w:t>
            </w:r>
          </w:p>
        </w:tc>
      </w:tr>
      <w:tr w14:paraId="5DA12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EE7B138"/>
        </w:tc>
        <w:tc>
          <w:tcPr>
            <w:tcW w:w="4261" w:type="dxa"/>
            <w:shd w:val="clear" w:color="auto" w:fill="auto"/>
          </w:tcPr>
          <w:p w14:paraId="75F96716">
            <w:pPr>
              <w:rPr>
                <w:rFonts w:ascii="宋体" w:hAnsi="宋体" w:eastAsia="宋体" w:cs="黑体"/>
                <w:u w:val="single"/>
              </w:rPr>
            </w:pPr>
            <w:r>
              <w:rPr>
                <w:rFonts w:hint="eastAsia" w:ascii="宋体" w:hAnsi="宋体" w:eastAsia="宋体" w:cs="黑体"/>
                <w:u w:val="single"/>
              </w:rPr>
              <w:t>5.2.13 母婴室设置应符合下列要求：</w:t>
            </w:r>
          </w:p>
          <w:p w14:paraId="7BF4B3D2">
            <w:pPr>
              <w:ind w:firstLine="480" w:firstLineChars="200"/>
              <w:rPr>
                <w:rFonts w:ascii="宋体" w:hAnsi="宋体" w:eastAsia="宋体" w:cs="黑体"/>
                <w:u w:val="single"/>
              </w:rPr>
            </w:pPr>
            <w:r>
              <w:rPr>
                <w:rFonts w:hint="eastAsia" w:ascii="宋体" w:hAnsi="宋体" w:eastAsia="宋体" w:cs="黑体"/>
                <w:u w:val="single"/>
              </w:rPr>
              <w:t>1 儿科和妇产科区域宜设置母婴室，公共空间宜适当考虑母婴室；</w:t>
            </w:r>
          </w:p>
          <w:p w14:paraId="75A370CD">
            <w:pPr>
              <w:ind w:firstLine="480" w:firstLineChars="200"/>
              <w:rPr>
                <w:rFonts w:ascii="宋体" w:hAnsi="宋体" w:eastAsia="宋体" w:cs="黑体"/>
                <w:u w:val="single"/>
              </w:rPr>
            </w:pPr>
            <w:r>
              <w:rPr>
                <w:rFonts w:hint="eastAsia" w:ascii="宋体" w:hAnsi="宋体" w:eastAsia="宋体" w:cs="黑体"/>
                <w:u w:val="single"/>
              </w:rPr>
              <w:t>2 母婴室应设置独立房间且使用面积不应低于10.0m²；</w:t>
            </w:r>
          </w:p>
          <w:p w14:paraId="1986A629">
            <w:pPr>
              <w:ind w:firstLine="484" w:firstLineChars="202"/>
            </w:pPr>
            <w:r>
              <w:rPr>
                <w:rFonts w:hint="eastAsia" w:ascii="宋体" w:hAnsi="宋体" w:eastAsia="宋体" w:cs="黑体"/>
                <w:u w:val="single"/>
              </w:rPr>
              <w:t>3 母婴室应设置洗手盆、婴儿尿布台及桌椅等必要的家具。</w:t>
            </w:r>
          </w:p>
        </w:tc>
      </w:tr>
      <w:tr w14:paraId="56143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B610A82">
            <w:pPr>
              <w:jc w:val="center"/>
              <w:rPr>
                <w:rFonts w:asciiTheme="minorEastAsia" w:hAnsiTheme="minorEastAsia"/>
              </w:rPr>
            </w:pPr>
            <w:bookmarkStart w:id="7" w:name="_Toc85880723"/>
            <w:r>
              <w:rPr>
                <w:rFonts w:hint="eastAsia" w:asciiTheme="minorEastAsia" w:hAnsiTheme="minorEastAsia"/>
              </w:rPr>
              <w:t>5.3 急诊部用房</w:t>
            </w:r>
            <w:bookmarkEnd w:id="7"/>
          </w:p>
        </w:tc>
        <w:tc>
          <w:tcPr>
            <w:tcW w:w="4261" w:type="dxa"/>
            <w:shd w:val="clear" w:color="auto" w:fill="auto"/>
          </w:tcPr>
          <w:p w14:paraId="74DCCF93">
            <w:pPr>
              <w:jc w:val="center"/>
              <w:rPr>
                <w:rFonts w:asciiTheme="minorEastAsia" w:hAnsiTheme="minorEastAsia"/>
              </w:rPr>
            </w:pPr>
            <w:r>
              <w:rPr>
                <w:rFonts w:hint="eastAsia" w:asciiTheme="minorEastAsia" w:hAnsiTheme="minorEastAsia"/>
              </w:rPr>
              <w:t>5.3 急诊部用房</w:t>
            </w:r>
          </w:p>
        </w:tc>
      </w:tr>
      <w:tr w14:paraId="3BECE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02F16CD">
            <w:pPr>
              <w:widowControl/>
              <w:rPr>
                <w:rFonts w:ascii="宋体" w:hAnsi="宋体" w:eastAsia="宋体"/>
                <w:bCs/>
              </w:rPr>
            </w:pPr>
            <w:r>
              <w:rPr>
                <w:rFonts w:hint="eastAsia" w:ascii="宋体" w:hAnsi="宋体" w:eastAsia="宋体"/>
                <w:bCs/>
              </w:rPr>
              <w:t>5.3.1 急诊部设置应符合下列要求：</w:t>
            </w:r>
          </w:p>
          <w:p w14:paraId="398AA212">
            <w:pPr>
              <w:ind w:firstLine="480" w:firstLineChars="200"/>
              <w:rPr>
                <w:rFonts w:ascii="宋体" w:hAnsi="宋体" w:eastAsia="宋体" w:cs="宋体"/>
                <w:bCs/>
              </w:rPr>
            </w:pPr>
            <w:r>
              <w:rPr>
                <w:rFonts w:hint="eastAsia" w:ascii="宋体" w:hAnsi="宋体" w:eastAsia="宋体" w:cs="宋体"/>
                <w:bCs/>
              </w:rPr>
              <w:t>1 自成一区，应单独设置出入口，</w:t>
            </w:r>
            <w:r>
              <w:rPr>
                <w:rFonts w:hint="eastAsia" w:ascii="宋体" w:hAnsi="宋体" w:eastAsia="宋体" w:cs="宋体"/>
                <w:bCs/>
                <w:bdr w:val="single" w:color="auto" w:sz="4" w:space="0"/>
              </w:rPr>
              <w:t>便于急救车、担架车、轮椅车的停放</w:t>
            </w:r>
            <w:r>
              <w:rPr>
                <w:rFonts w:hint="eastAsia" w:ascii="宋体" w:hAnsi="宋体" w:eastAsia="宋体" w:cs="宋体"/>
                <w:bCs/>
              </w:rPr>
              <w:t>；</w:t>
            </w:r>
          </w:p>
          <w:p w14:paraId="16786016">
            <w:pPr>
              <w:ind w:firstLine="480" w:firstLineChars="200"/>
              <w:rPr>
                <w:rFonts w:ascii="宋体" w:hAnsi="宋体" w:eastAsia="宋体" w:cs="黑体"/>
                <w:u w:val="single"/>
              </w:rPr>
            </w:pPr>
            <w:r>
              <w:rPr>
                <w:rFonts w:hint="eastAsia" w:ascii="宋体" w:hAnsi="宋体" w:eastAsia="宋体" w:cs="宋体"/>
                <w:bCs/>
              </w:rPr>
              <w:t xml:space="preserve">2 </w:t>
            </w:r>
            <w:r>
              <w:rPr>
                <w:rFonts w:hint="eastAsia" w:ascii="宋体" w:hAnsi="宋体" w:eastAsia="宋体" w:cs="宋体"/>
                <w:bCs/>
                <w:bdr w:val="single" w:color="auto" w:sz="4" w:space="0"/>
              </w:rPr>
              <w:t>急诊、急救应分区设置</w:t>
            </w:r>
            <w:r>
              <w:rPr>
                <w:rFonts w:hint="eastAsia" w:cs="宋体" w:asciiTheme="minorEastAsia" w:hAnsiTheme="minorEastAsia"/>
                <w:bCs/>
              </w:rPr>
              <w:t>；</w:t>
            </w:r>
          </w:p>
          <w:p w14:paraId="7636CD37">
            <w:pPr>
              <w:ind w:firstLine="480" w:firstLineChars="200"/>
              <w:rPr>
                <w:rFonts w:ascii="宋体" w:hAnsi="宋体" w:eastAsia="宋体" w:cs="宋体"/>
                <w:bCs/>
              </w:rPr>
            </w:pPr>
            <w:r>
              <w:rPr>
                <w:rFonts w:hint="eastAsia" w:ascii="宋体" w:hAnsi="宋体" w:eastAsia="宋体" w:cs="宋体"/>
                <w:bCs/>
              </w:rPr>
              <w:t>3 急诊部与门诊部、医技部、手术部应有便捷的联系；</w:t>
            </w:r>
          </w:p>
          <w:p w14:paraId="617519EA">
            <w:pPr>
              <w:ind w:firstLine="480" w:firstLineChars="200"/>
            </w:pPr>
            <w:r>
              <w:rPr>
                <w:rFonts w:hint="eastAsia" w:ascii="宋体" w:hAnsi="宋体" w:eastAsia="宋体" w:cs="宋体"/>
                <w:bCs/>
              </w:rPr>
              <w:t>4 设置直升机停机坪时，应与急诊部有快捷的通道</w:t>
            </w:r>
            <w:r>
              <w:rPr>
                <w:rFonts w:hint="eastAsia" w:ascii="宋体" w:hAnsi="宋体" w:eastAsia="宋体" w:cs="宋体"/>
                <w:bCs/>
                <w:bdr w:val="single" w:color="auto" w:sz="4" w:space="0"/>
              </w:rPr>
              <w:t>。</w:t>
            </w:r>
          </w:p>
        </w:tc>
        <w:tc>
          <w:tcPr>
            <w:tcW w:w="4261" w:type="dxa"/>
            <w:shd w:val="clear" w:color="auto" w:fill="auto"/>
          </w:tcPr>
          <w:p w14:paraId="1D8F002C">
            <w:pPr>
              <w:widowControl/>
              <w:rPr>
                <w:rFonts w:ascii="宋体" w:hAnsi="宋体" w:eastAsia="宋体"/>
                <w:bCs/>
              </w:rPr>
            </w:pPr>
            <w:r>
              <w:rPr>
                <w:rFonts w:hint="eastAsia" w:ascii="宋体" w:hAnsi="宋体" w:eastAsia="宋体"/>
                <w:bCs/>
              </w:rPr>
              <w:t>5.3.1 急诊部设置应符合下列要求：</w:t>
            </w:r>
          </w:p>
          <w:p w14:paraId="12065C79">
            <w:pPr>
              <w:ind w:firstLine="480" w:firstLineChars="200"/>
              <w:rPr>
                <w:rFonts w:ascii="宋体" w:hAnsi="宋体" w:eastAsia="宋体" w:cs="宋体"/>
                <w:bCs/>
              </w:rPr>
            </w:pPr>
            <w:r>
              <w:rPr>
                <w:rFonts w:hint="eastAsia" w:ascii="宋体" w:hAnsi="宋体" w:eastAsia="宋体" w:cs="宋体"/>
                <w:bCs/>
              </w:rPr>
              <w:t>1 自成一区，应单独设置出入口，</w:t>
            </w:r>
            <w:r>
              <w:rPr>
                <w:rFonts w:hint="eastAsia" w:ascii="宋体" w:hAnsi="宋体" w:eastAsia="宋体" w:cs="黑体"/>
                <w:u w:val="single"/>
              </w:rPr>
              <w:t>大型医院可采用急诊出入口与急救出入口分设的模式</w:t>
            </w:r>
            <w:r>
              <w:rPr>
                <w:rFonts w:hint="eastAsia" w:ascii="宋体" w:hAnsi="宋体" w:eastAsia="宋体" w:cs="宋体"/>
                <w:bCs/>
              </w:rPr>
              <w:t>；</w:t>
            </w:r>
          </w:p>
          <w:p w14:paraId="1916422F">
            <w:pPr>
              <w:ind w:firstLine="480" w:firstLineChars="200"/>
              <w:rPr>
                <w:rFonts w:ascii="宋体" w:hAnsi="宋体" w:eastAsia="宋体" w:cs="黑体"/>
                <w:u w:val="single"/>
              </w:rPr>
            </w:pPr>
            <w:r>
              <w:rPr>
                <w:rFonts w:hint="eastAsia" w:ascii="宋体" w:hAnsi="宋体" w:eastAsia="宋体" w:cs="宋体"/>
                <w:bCs/>
              </w:rPr>
              <w:t>2</w:t>
            </w:r>
            <w:r>
              <w:rPr>
                <w:rFonts w:ascii="宋体" w:hAnsi="宋体" w:eastAsia="宋体" w:cs="宋体"/>
                <w:bCs/>
              </w:rPr>
              <w:t xml:space="preserve"> </w:t>
            </w:r>
            <w:r>
              <w:rPr>
                <w:rFonts w:hint="eastAsia" w:ascii="宋体" w:hAnsi="宋体" w:eastAsia="宋体" w:cs="黑体"/>
                <w:u w:val="single"/>
              </w:rPr>
              <w:t>急诊入口应当通畅，设有无障碍通道，方便轮椅、平车出入，并设有救护车通道和专用停靠处；有条件的可分设普通急诊患者、危重伤病患者和救护车出入通道；出入口宜设置门斗</w:t>
            </w:r>
            <w:r>
              <w:rPr>
                <w:rFonts w:hint="eastAsia" w:cs="宋体" w:asciiTheme="minorEastAsia" w:hAnsiTheme="minorEastAsia"/>
                <w:bCs/>
              </w:rPr>
              <w:t>；</w:t>
            </w:r>
          </w:p>
          <w:p w14:paraId="05F5CFB5">
            <w:pPr>
              <w:ind w:firstLine="480" w:firstLineChars="200"/>
              <w:rPr>
                <w:rFonts w:ascii="宋体" w:hAnsi="宋体" w:eastAsia="宋体" w:cs="黑体"/>
                <w:u w:val="single"/>
              </w:rPr>
            </w:pPr>
            <w:r>
              <w:rPr>
                <w:rFonts w:ascii="宋体" w:hAnsi="宋体" w:eastAsia="宋体" w:cs="黑体"/>
                <w:u w:val="single"/>
              </w:rPr>
              <w:t xml:space="preserve">2A </w:t>
            </w:r>
            <w:r>
              <w:rPr>
                <w:rFonts w:hint="eastAsia" w:ascii="宋体" w:hAnsi="宋体" w:eastAsia="宋体" w:cs="黑体"/>
                <w:u w:val="single"/>
              </w:rPr>
              <w:t>急诊诊疗区、急救区、留观输液区、医技检查区、急诊病房区应分区设置，并设置配套的医辅用房；</w:t>
            </w:r>
          </w:p>
          <w:p w14:paraId="422E02EF">
            <w:pPr>
              <w:ind w:firstLine="480" w:firstLineChars="200"/>
              <w:rPr>
                <w:rFonts w:ascii="宋体" w:hAnsi="宋体" w:eastAsia="宋体" w:cs="宋体"/>
                <w:bCs/>
              </w:rPr>
            </w:pPr>
            <w:r>
              <w:rPr>
                <w:rFonts w:hint="eastAsia" w:ascii="宋体" w:hAnsi="宋体" w:eastAsia="宋体" w:cs="宋体"/>
                <w:bCs/>
              </w:rPr>
              <w:t>3 急诊部与门诊部、医技部、手术部应有便捷的联系；</w:t>
            </w:r>
          </w:p>
          <w:p w14:paraId="7A335CCB">
            <w:pPr>
              <w:ind w:firstLine="480" w:firstLineChars="200"/>
              <w:rPr>
                <w:rFonts w:ascii="宋体" w:hAnsi="宋体" w:eastAsia="宋体" w:cs="宋体"/>
                <w:bCs/>
              </w:rPr>
            </w:pPr>
            <w:r>
              <w:rPr>
                <w:rFonts w:hint="eastAsia" w:ascii="宋体" w:hAnsi="宋体" w:eastAsia="宋体" w:cs="宋体"/>
                <w:bCs/>
              </w:rPr>
              <w:t>4 设置直升机停机坪时，应与急诊部有快捷的通道</w:t>
            </w:r>
            <w:r>
              <w:rPr>
                <w:rFonts w:hint="eastAsia" w:ascii="宋体" w:hAnsi="宋体" w:eastAsia="宋体" w:cs="宋体"/>
                <w:bCs/>
                <w:u w:val="single"/>
              </w:rPr>
              <w:t>；</w:t>
            </w:r>
          </w:p>
          <w:p w14:paraId="2257F7A3">
            <w:pPr>
              <w:ind w:firstLine="480" w:firstLineChars="200"/>
              <w:rPr>
                <w:rFonts w:ascii="宋体" w:hAnsi="宋体" w:eastAsia="宋体" w:cs="黑体"/>
                <w:u w:val="single"/>
              </w:rPr>
            </w:pPr>
            <w:r>
              <w:rPr>
                <w:rFonts w:ascii="宋体" w:hAnsi="宋体" w:eastAsia="宋体" w:cs="黑体"/>
                <w:u w:val="single"/>
              </w:rPr>
              <w:t xml:space="preserve">5 </w:t>
            </w:r>
            <w:r>
              <w:rPr>
                <w:rFonts w:hint="eastAsia" w:ascii="宋体" w:hAnsi="宋体" w:eastAsia="宋体" w:cs="黑体"/>
                <w:u w:val="single"/>
              </w:rPr>
              <w:t>应在急诊入口毗邻处设置紧急临时车位，为患者和照顾者提供紧急临时停车服务；</w:t>
            </w:r>
          </w:p>
          <w:p w14:paraId="64701BF1">
            <w:pPr>
              <w:ind w:firstLine="480" w:firstLineChars="200"/>
            </w:pPr>
            <w:r>
              <w:rPr>
                <w:rFonts w:ascii="宋体" w:hAnsi="宋体" w:eastAsia="宋体" w:cs="黑体"/>
                <w:u w:val="single"/>
              </w:rPr>
              <w:t xml:space="preserve">6 </w:t>
            </w:r>
            <w:r>
              <w:rPr>
                <w:rFonts w:hint="eastAsia" w:ascii="宋体" w:hAnsi="宋体" w:eastAsia="宋体" w:cs="黑体"/>
                <w:u w:val="single"/>
              </w:rPr>
              <w:t>急诊科应当有醒目的路标和标识，以方便和引导患者就诊，与手术室、重症医学科、DSA等相连接的院内紧急救治绿色通道标识应当清楚明显。</w:t>
            </w:r>
          </w:p>
        </w:tc>
      </w:tr>
      <w:tr w14:paraId="6DC3C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30B9449">
            <w:pPr>
              <w:widowControl/>
              <w:rPr>
                <w:rFonts w:ascii="宋体" w:hAnsi="宋体" w:eastAsia="宋体"/>
                <w:bCs/>
                <w:bdr w:val="single" w:color="auto" w:sz="4" w:space="0"/>
              </w:rPr>
            </w:pPr>
            <w:r>
              <w:rPr>
                <w:rFonts w:hint="eastAsia" w:ascii="宋体" w:hAnsi="宋体" w:eastAsia="宋体"/>
                <w:bCs/>
                <w:bdr w:val="single" w:color="auto" w:sz="4" w:space="0"/>
              </w:rPr>
              <w:t>5.3.2</w:t>
            </w:r>
            <w:r>
              <w:rPr>
                <w:rFonts w:ascii="宋体" w:hAnsi="宋体" w:eastAsia="宋体"/>
                <w:bCs/>
                <w:bdr w:val="single" w:color="auto" w:sz="4" w:space="0"/>
              </w:rPr>
              <w:t xml:space="preserve"> </w:t>
            </w:r>
            <w:r>
              <w:rPr>
                <w:rFonts w:hint="eastAsia" w:ascii="宋体" w:hAnsi="宋体" w:eastAsia="宋体"/>
                <w:bCs/>
                <w:bdr w:val="single" w:color="auto" w:sz="4" w:space="0"/>
              </w:rPr>
              <w:t>急诊用房设置应符合下列要求：</w:t>
            </w:r>
          </w:p>
          <w:p w14:paraId="2E44909C">
            <w:pPr>
              <w:ind w:firstLine="425"/>
              <w:rPr>
                <w:rFonts w:ascii="宋体" w:hAnsi="宋体" w:eastAsia="宋体" w:cs="宋体"/>
                <w:bCs/>
                <w:bdr w:val="single" w:color="auto" w:sz="4" w:space="0"/>
              </w:rPr>
            </w:pPr>
            <w:r>
              <w:rPr>
                <w:rFonts w:hint="eastAsia" w:ascii="宋体" w:hAnsi="宋体" w:eastAsia="宋体" w:cs="宋体"/>
                <w:bCs/>
                <w:bdr w:val="single" w:color="auto" w:sz="4" w:space="0"/>
              </w:rPr>
              <w:t>1 应设接诊分诊、护士站、输液、观察、污洗、杂物贮藏、值班更衣、卫生间等用房；</w:t>
            </w:r>
          </w:p>
          <w:p w14:paraId="176C6D37">
            <w:pPr>
              <w:ind w:firstLine="425"/>
              <w:rPr>
                <w:rFonts w:ascii="宋体" w:hAnsi="宋体" w:eastAsia="宋体" w:cs="宋体"/>
                <w:bCs/>
                <w:bdr w:val="single" w:color="auto" w:sz="4" w:space="0"/>
              </w:rPr>
            </w:pPr>
            <w:r>
              <w:rPr>
                <w:rFonts w:hint="eastAsia" w:ascii="宋体" w:hAnsi="宋体" w:eastAsia="宋体" w:cs="宋体"/>
                <w:bCs/>
                <w:bdr w:val="single" w:color="auto" w:sz="4" w:space="0"/>
              </w:rPr>
              <w:t>2 急救部分应设抢救、抢救监护等用房；</w:t>
            </w:r>
          </w:p>
          <w:p w14:paraId="35A6A7D4">
            <w:pPr>
              <w:ind w:firstLine="425"/>
              <w:rPr>
                <w:rFonts w:ascii="宋体" w:hAnsi="宋体" w:eastAsia="宋体" w:cs="宋体"/>
                <w:bCs/>
                <w:bdr w:val="single" w:color="auto" w:sz="4" w:space="0"/>
              </w:rPr>
            </w:pPr>
            <w:r>
              <w:rPr>
                <w:rFonts w:hint="eastAsia" w:ascii="宋体" w:hAnsi="宋体" w:eastAsia="宋体" w:cs="宋体"/>
                <w:bCs/>
                <w:bdr w:val="single" w:color="auto" w:sz="4" w:space="0"/>
              </w:rPr>
              <w:t>3 急诊部分应设诊查、治疗、清创、换药等用房；</w:t>
            </w:r>
          </w:p>
          <w:p w14:paraId="5581497B">
            <w:pPr>
              <w:ind w:firstLine="425"/>
              <w:rPr>
                <w:rFonts w:ascii="宋体" w:hAnsi="宋体" w:eastAsia="宋体" w:cs="宋体"/>
                <w:bCs/>
                <w:bdr w:val="single" w:color="auto" w:sz="4" w:space="0"/>
              </w:rPr>
            </w:pPr>
            <w:r>
              <w:rPr>
                <w:rFonts w:hint="eastAsia" w:ascii="宋体" w:hAnsi="宋体" w:eastAsia="宋体" w:cs="宋体"/>
                <w:bCs/>
                <w:bdr w:val="single" w:color="auto" w:sz="4" w:space="0"/>
              </w:rPr>
              <w:t>4 可独立设挂号、收费、病历、药房、检验、X线检查、功能检查、手术、重症监护等用房；</w:t>
            </w:r>
          </w:p>
          <w:p w14:paraId="43D82411">
            <w:pPr>
              <w:ind w:firstLine="425"/>
            </w:pPr>
            <w:r>
              <w:rPr>
                <w:rFonts w:hint="eastAsia" w:ascii="宋体" w:hAnsi="宋体" w:eastAsia="宋体" w:cs="宋体"/>
                <w:bCs/>
                <w:bdr w:val="single" w:color="auto" w:sz="4" w:space="0"/>
              </w:rPr>
              <w:t>5 输液室应由治疗间和输液间组成。</w:t>
            </w:r>
          </w:p>
        </w:tc>
        <w:tc>
          <w:tcPr>
            <w:tcW w:w="4261" w:type="dxa"/>
            <w:shd w:val="clear" w:color="auto" w:fill="auto"/>
          </w:tcPr>
          <w:p w14:paraId="55EC8554">
            <w:r>
              <w:rPr>
                <w:rFonts w:hint="eastAsia" w:ascii="宋体" w:hAnsi="宋体" w:eastAsia="宋体" w:cs="黑体"/>
                <w:u w:val="single"/>
              </w:rPr>
              <w:t>5.3.</w:t>
            </w:r>
            <w:r>
              <w:rPr>
                <w:rFonts w:ascii="宋体" w:hAnsi="宋体" w:eastAsia="宋体" w:cs="黑体"/>
                <w:u w:val="single"/>
              </w:rPr>
              <w:t xml:space="preserve">2 </w:t>
            </w:r>
            <w:r>
              <w:rPr>
                <w:rFonts w:hint="eastAsia" w:ascii="宋体" w:hAnsi="宋体" w:eastAsia="宋体" w:cs="黑体"/>
                <w:u w:val="single"/>
              </w:rPr>
              <w:t>急诊空间应分区管理，满足急诊患者病情轻重分级要求，进行区别救治。设置卒中、胸痛、创伤、危重孕产妇、危重新生儿等救治中心的，空间用房与流程应满足不同中心对建设要求。</w:t>
            </w:r>
          </w:p>
        </w:tc>
      </w:tr>
      <w:tr w14:paraId="60654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6DA90AE">
            <w:r>
              <w:rPr>
                <w:rFonts w:hint="eastAsia" w:asciiTheme="minorEastAsia" w:hAnsiTheme="minorEastAsia"/>
                <w:bCs/>
                <w:bdr w:val="single" w:color="auto" w:sz="4" w:space="0"/>
              </w:rPr>
              <w:t>5.3.3 当门厅兼用于分诊功能时，其面积不应小于24.00m²。</w:t>
            </w:r>
          </w:p>
        </w:tc>
        <w:tc>
          <w:tcPr>
            <w:tcW w:w="4261" w:type="dxa"/>
            <w:shd w:val="clear" w:color="auto" w:fill="auto"/>
          </w:tcPr>
          <w:p w14:paraId="576B8A2D">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3 </w:t>
            </w:r>
            <w:r>
              <w:rPr>
                <w:rFonts w:hint="eastAsia" w:ascii="宋体" w:hAnsi="宋体" w:eastAsia="宋体" w:cs="宋体"/>
                <w:bCs/>
                <w:kern w:val="0"/>
                <w:u w:val="single"/>
              </w:rPr>
              <w:t>急诊公共区域用房应符合下列要求：</w:t>
            </w:r>
          </w:p>
          <w:p w14:paraId="53A0CC18">
            <w:pPr>
              <w:ind w:firstLine="480" w:firstLineChars="200"/>
              <w:rPr>
                <w:rFonts w:ascii="宋体" w:hAnsi="宋体" w:eastAsia="宋体" w:cs="黑体"/>
                <w:u w:val="single"/>
              </w:rPr>
            </w:pPr>
            <w:r>
              <w:rPr>
                <w:rFonts w:hint="eastAsia" w:ascii="宋体" w:hAnsi="宋体" w:eastAsia="宋体" w:cs="黑体"/>
                <w:u w:val="single"/>
              </w:rPr>
              <w:t>1 急诊公共区宜设急诊大厅、自助服务、挂号缴费、急诊药房、采血、候诊、卫生间、商业、安保等用房和为患者服务的公共设施；</w:t>
            </w:r>
          </w:p>
          <w:p w14:paraId="5AC29633">
            <w:pPr>
              <w:ind w:firstLine="480" w:firstLineChars="200"/>
              <w:rPr>
                <w:rFonts w:ascii="宋体" w:hAnsi="宋体" w:eastAsia="宋体" w:cs="黑体"/>
                <w:u w:val="single"/>
              </w:rPr>
            </w:pPr>
            <w:r>
              <w:rPr>
                <w:rFonts w:ascii="宋体" w:hAnsi="宋体" w:eastAsia="宋体" w:cs="黑体"/>
                <w:u w:val="single"/>
              </w:rPr>
              <w:t xml:space="preserve">2 </w:t>
            </w:r>
            <w:r>
              <w:rPr>
                <w:rFonts w:hint="eastAsia" w:ascii="宋体" w:hAnsi="宋体" w:eastAsia="宋体" w:cs="黑体"/>
                <w:u w:val="single"/>
              </w:rPr>
              <w:t>急诊大厅入口部应设预检分诊区，便于急诊分级分类管理和疫情防控需要。</w:t>
            </w:r>
          </w:p>
          <w:p w14:paraId="7609086D">
            <w:pPr>
              <w:ind w:firstLine="480" w:firstLineChars="200"/>
              <w:rPr>
                <w:rFonts w:ascii="宋体" w:hAnsi="宋体" w:eastAsia="宋体" w:cs="黑体"/>
                <w:u w:val="single"/>
              </w:rPr>
            </w:pPr>
            <w:r>
              <w:rPr>
                <w:rFonts w:ascii="宋体" w:hAnsi="宋体" w:eastAsia="宋体" w:cs="黑体"/>
                <w:u w:val="single"/>
              </w:rPr>
              <w:t xml:space="preserve">3 </w:t>
            </w:r>
            <w:r>
              <w:rPr>
                <w:rFonts w:hint="eastAsia" w:ascii="宋体" w:hAnsi="宋体" w:eastAsia="宋体" w:cs="黑体"/>
                <w:u w:val="single"/>
              </w:rPr>
              <w:t>候诊区要预留轮椅、推车停留空间，避免轮椅停留在通道上以及造成的交通拥堵。</w:t>
            </w:r>
          </w:p>
          <w:p w14:paraId="39ED51BB">
            <w:pPr>
              <w:ind w:firstLine="480" w:firstLineChars="200"/>
            </w:pPr>
            <w:r>
              <w:rPr>
                <w:rFonts w:ascii="宋体" w:hAnsi="宋体" w:eastAsia="宋体" w:cs="黑体"/>
                <w:u w:val="single"/>
              </w:rPr>
              <w:t xml:space="preserve">4 </w:t>
            </w:r>
            <w:r>
              <w:rPr>
                <w:rFonts w:hint="eastAsia" w:ascii="宋体" w:hAnsi="宋体" w:eastAsia="宋体" w:cs="黑体"/>
                <w:u w:val="single"/>
              </w:rPr>
              <w:t>如有条件，在急诊公共区域宜预留医用气体等设施，用于应对突发性公共卫生事件时的应急使用。</w:t>
            </w:r>
          </w:p>
        </w:tc>
      </w:tr>
      <w:tr w14:paraId="241EF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1FCCF7A">
            <w:pPr>
              <w:widowControl/>
              <w:rPr>
                <w:rFonts w:ascii="宋体" w:hAnsi="宋体" w:eastAsia="宋体"/>
                <w:bCs/>
                <w:bdr w:val="single" w:color="auto" w:sz="4" w:space="0"/>
              </w:rPr>
            </w:pPr>
            <w:r>
              <w:rPr>
                <w:rFonts w:hint="eastAsia" w:ascii="宋体" w:hAnsi="宋体" w:eastAsia="宋体"/>
                <w:bCs/>
                <w:bdr w:val="single" w:color="auto" w:sz="4" w:space="0"/>
              </w:rPr>
              <w:t>5.3.4 抢救用房设置应符合下列要求：</w:t>
            </w:r>
          </w:p>
          <w:p w14:paraId="5AB01B77">
            <w:pPr>
              <w:ind w:firstLine="480" w:firstLineChars="200"/>
              <w:rPr>
                <w:rFonts w:ascii="宋体" w:hAnsi="宋体" w:eastAsia="宋体" w:cs="宋体"/>
                <w:bCs/>
                <w:bdr w:val="single" w:color="auto" w:sz="4" w:space="0"/>
              </w:rPr>
            </w:pPr>
            <w:r>
              <w:rPr>
                <w:rFonts w:hint="eastAsia" w:ascii="宋体" w:hAnsi="宋体" w:eastAsia="宋体" w:cs="宋体"/>
                <w:bCs/>
                <w:bdr w:val="single" w:color="auto" w:sz="4" w:space="0"/>
              </w:rPr>
              <w:t>1 抢救室应直通门厅，有条件时宜直通急救车停车位，面积不应小于每床30.00m²，门的净宽不应小于1.40m；</w:t>
            </w:r>
          </w:p>
          <w:p w14:paraId="6767E35B">
            <w:pPr>
              <w:ind w:firstLine="480" w:firstLineChars="200"/>
            </w:pPr>
            <w:r>
              <w:rPr>
                <w:rFonts w:hint="eastAsia" w:ascii="宋体" w:hAnsi="宋体" w:eastAsia="宋体" w:cs="宋体"/>
                <w:bCs/>
                <w:bdr w:val="single" w:color="auto" w:sz="4" w:space="0"/>
              </w:rPr>
              <w:t>2 宜设氧气、吸引等医疗气体的管道系统终端。</w:t>
            </w:r>
          </w:p>
        </w:tc>
        <w:tc>
          <w:tcPr>
            <w:tcW w:w="4261" w:type="dxa"/>
            <w:shd w:val="clear" w:color="auto" w:fill="auto"/>
          </w:tcPr>
          <w:p w14:paraId="1A53FE57">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4 </w:t>
            </w:r>
            <w:r>
              <w:rPr>
                <w:rFonts w:hint="eastAsia" w:ascii="宋体" w:hAnsi="宋体" w:eastAsia="宋体" w:cs="宋体"/>
                <w:bCs/>
                <w:kern w:val="0"/>
                <w:u w:val="single"/>
              </w:rPr>
              <w:t>急诊急救区域用房应符合下列要求：</w:t>
            </w:r>
          </w:p>
          <w:p w14:paraId="2351064E">
            <w:pPr>
              <w:ind w:firstLine="480" w:firstLineChars="200"/>
              <w:rPr>
                <w:rFonts w:ascii="宋体" w:hAnsi="宋体" w:eastAsia="宋体" w:cs="黑体"/>
                <w:u w:val="single"/>
              </w:rPr>
            </w:pPr>
            <w:r>
              <w:rPr>
                <w:rFonts w:hint="eastAsia" w:ascii="宋体" w:hAnsi="宋体" w:eastAsia="宋体" w:cs="黑体"/>
                <w:u w:val="single"/>
              </w:rPr>
              <w:t>1 急救区一般应设置抢救室、洗胃室、复苏室等，二级以上医院宜设置急诊手术室（或急诊清创室）、EICU及配套用房。设置胸痛中心、卒中中心、创伤中心的，其用房可设在此区或就近设置，并满足相关规范要求。</w:t>
            </w:r>
          </w:p>
          <w:p w14:paraId="766BA8BD">
            <w:pPr>
              <w:ind w:firstLine="480" w:firstLineChars="200"/>
              <w:rPr>
                <w:rFonts w:ascii="宋体" w:hAnsi="宋体" w:eastAsia="宋体" w:cs="黑体"/>
                <w:u w:val="single"/>
              </w:rPr>
            </w:pPr>
            <w:r>
              <w:rPr>
                <w:rFonts w:hint="eastAsia" w:ascii="宋体" w:hAnsi="宋体" w:eastAsia="宋体" w:cs="黑体"/>
                <w:u w:val="single"/>
              </w:rPr>
              <w:t>2 抢救室应直通门厅，有条件时宜直通急救车停车位，门的净宽不应小于1.20m；设置移门时，门的净宽不应小于1.4m；</w:t>
            </w:r>
          </w:p>
          <w:p w14:paraId="1B3542AA">
            <w:pPr>
              <w:ind w:firstLine="480" w:firstLineChars="200"/>
              <w:rPr>
                <w:rFonts w:ascii="宋体" w:hAnsi="宋体" w:eastAsia="宋体" w:cs="黑体"/>
                <w:u w:val="single"/>
              </w:rPr>
            </w:pPr>
            <w:r>
              <w:rPr>
                <w:rFonts w:ascii="宋体" w:hAnsi="宋体" w:eastAsia="宋体" w:cs="黑体"/>
                <w:u w:val="single"/>
              </w:rPr>
              <w:t xml:space="preserve">3 </w:t>
            </w:r>
            <w:r>
              <w:rPr>
                <w:rFonts w:hint="eastAsia" w:ascii="宋体" w:hAnsi="宋体" w:eastAsia="宋体" w:cs="黑体"/>
                <w:u w:val="single"/>
              </w:rPr>
              <w:t>抢救室抢救单元和抢救床位数量根据医院等级及实际需要确定。抢救室内宜设抢救床位、护士站、治疗室、处置室等。急诊流量较小的医院的治疗室、处置室也可与留观区域、EICU区域合用。</w:t>
            </w:r>
          </w:p>
          <w:p w14:paraId="654B2BBA">
            <w:pPr>
              <w:ind w:firstLine="480" w:firstLineChars="200"/>
              <w:rPr>
                <w:rFonts w:ascii="宋体" w:hAnsi="宋体" w:eastAsia="宋体" w:cs="黑体"/>
                <w:u w:val="single"/>
              </w:rPr>
            </w:pPr>
            <w:r>
              <w:rPr>
                <w:rFonts w:hint="eastAsia" w:ascii="宋体" w:hAnsi="宋体" w:eastAsia="宋体" w:cs="黑体"/>
                <w:u w:val="single"/>
              </w:rPr>
              <w:t>4 抢救室每床净使用面积应大于</w:t>
            </w:r>
            <w:r>
              <w:rPr>
                <w:rFonts w:ascii="宋体" w:hAnsi="宋体" w:eastAsia="宋体" w:cs="黑体"/>
                <w:u w:val="single"/>
              </w:rPr>
              <w:t>20m²；</w:t>
            </w:r>
            <w:r>
              <w:rPr>
                <w:rFonts w:hint="eastAsia" w:ascii="宋体" w:hAnsi="宋体" w:eastAsia="宋体" w:cs="黑体"/>
                <w:u w:val="single"/>
              </w:rPr>
              <w:t>抢救床的四周都应留有足够空间，平行排列床位的间距应≥1.5m。抢救床沿与墙面的距离应≥1.0m，床与床之间应设置分隔帘。</w:t>
            </w:r>
          </w:p>
          <w:p w14:paraId="0FD972B6">
            <w:pPr>
              <w:ind w:firstLine="480" w:firstLineChars="200"/>
              <w:rPr>
                <w:rFonts w:ascii="宋体" w:hAnsi="宋体" w:eastAsia="宋体" w:cs="黑体"/>
                <w:u w:val="single"/>
              </w:rPr>
            </w:pPr>
            <w:r>
              <w:rPr>
                <w:rFonts w:hint="eastAsia" w:ascii="宋体" w:hAnsi="宋体" w:eastAsia="宋体" w:cs="黑体"/>
                <w:u w:val="single"/>
              </w:rPr>
              <w:t>5 急救复苏室和洗胃间宜在抢救室内独立设置，面积宜不小于20m²；</w:t>
            </w:r>
          </w:p>
          <w:p w14:paraId="2412786D">
            <w:pPr>
              <w:ind w:firstLine="480" w:firstLineChars="200"/>
              <w:rPr>
                <w:rFonts w:ascii="宋体" w:hAnsi="宋体" w:eastAsia="宋体" w:cs="黑体"/>
                <w:u w:val="single"/>
              </w:rPr>
            </w:pPr>
            <w:r>
              <w:rPr>
                <w:rFonts w:ascii="宋体" w:hAnsi="宋体" w:eastAsia="宋体" w:cs="黑体"/>
                <w:u w:val="single"/>
              </w:rPr>
              <w:t xml:space="preserve">6 </w:t>
            </w:r>
            <w:r>
              <w:rPr>
                <w:rFonts w:hint="eastAsia" w:ascii="宋体" w:hAnsi="宋体" w:eastAsia="宋体" w:cs="黑体"/>
                <w:u w:val="single"/>
              </w:rPr>
              <w:t>每个抢救单元应设氧气、吸引、压缩空气等医疗气体的管道系统终端和多功能电源插座。</w:t>
            </w:r>
          </w:p>
          <w:p w14:paraId="1789FF97">
            <w:pPr>
              <w:ind w:firstLine="480" w:firstLineChars="200"/>
            </w:pPr>
            <w:r>
              <w:rPr>
                <w:rFonts w:ascii="宋体" w:hAnsi="宋体" w:eastAsia="宋体" w:cs="黑体"/>
                <w:u w:val="single"/>
              </w:rPr>
              <w:t xml:space="preserve">7 </w:t>
            </w:r>
            <w:r>
              <w:rPr>
                <w:rFonts w:hint="eastAsia" w:ascii="宋体" w:hAnsi="宋体" w:eastAsia="宋体" w:cs="黑体"/>
                <w:u w:val="single"/>
              </w:rPr>
              <w:t>设置急诊手术室的，宜与抢救室相邻，面积宜大于25m²，并设立配套的准备间和污物暂存间等用房。</w:t>
            </w:r>
          </w:p>
        </w:tc>
      </w:tr>
      <w:tr w14:paraId="0D99D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2D93508">
            <w:r>
              <w:rPr>
                <w:rFonts w:hint="eastAsia" w:asciiTheme="minorEastAsia" w:hAnsiTheme="minorEastAsia"/>
                <w:bCs/>
                <w:bdr w:val="single" w:color="auto" w:sz="4" w:space="0"/>
              </w:rPr>
              <w:t>5.3.5 抢救监护室内平行排列的观察床净距不应小于1.20m，有吊帘分隔时不应小于1.40m，床沿与墙面的净距不应小于1.00m。</w:t>
            </w:r>
          </w:p>
        </w:tc>
        <w:tc>
          <w:tcPr>
            <w:tcW w:w="4261" w:type="dxa"/>
            <w:shd w:val="clear" w:color="auto" w:fill="auto"/>
          </w:tcPr>
          <w:p w14:paraId="27D183BB">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5 </w:t>
            </w:r>
            <w:r>
              <w:rPr>
                <w:rFonts w:hint="eastAsia" w:ascii="宋体" w:hAnsi="宋体" w:eastAsia="宋体" w:cs="宋体"/>
                <w:bCs/>
                <w:kern w:val="0"/>
                <w:u w:val="single"/>
              </w:rPr>
              <w:t>急诊重症监护室（EICU）用房应符合下列要求：</w:t>
            </w:r>
          </w:p>
          <w:p w14:paraId="2BB76E9B">
            <w:pPr>
              <w:ind w:firstLine="480" w:firstLineChars="200"/>
              <w:rPr>
                <w:rFonts w:ascii="宋体" w:hAnsi="宋体" w:eastAsia="宋体" w:cs="黑体"/>
                <w:u w:val="single"/>
              </w:rPr>
            </w:pPr>
            <w:r>
              <w:rPr>
                <w:rFonts w:ascii="宋体" w:hAnsi="宋体" w:eastAsia="宋体" w:cs="黑体"/>
                <w:u w:val="single"/>
              </w:rPr>
              <w:t xml:space="preserve">1 </w:t>
            </w:r>
            <w:r>
              <w:rPr>
                <w:rFonts w:hint="eastAsia" w:ascii="宋体" w:hAnsi="宋体" w:eastAsia="宋体" w:cs="黑体"/>
                <w:u w:val="single"/>
              </w:rPr>
              <w:t>EICU宜自成一区，可邻近抢救室设置，也可在急诊区域独立设置；</w:t>
            </w:r>
          </w:p>
          <w:p w14:paraId="41D46E57">
            <w:pPr>
              <w:ind w:firstLine="480" w:firstLineChars="200"/>
            </w:pPr>
            <w:r>
              <w:rPr>
                <w:rFonts w:ascii="宋体" w:hAnsi="宋体" w:eastAsia="宋体" w:cs="黑体"/>
                <w:u w:val="single"/>
              </w:rPr>
              <w:t xml:space="preserve">2 </w:t>
            </w:r>
            <w:r>
              <w:rPr>
                <w:rFonts w:hint="eastAsia" w:ascii="宋体" w:hAnsi="宋体" w:eastAsia="宋体" w:cs="黑体"/>
                <w:u w:val="single"/>
              </w:rPr>
              <w:t>EICU根据不同医院等级和医院实际需要设置不同规模。内部功能用房包括重症监护床单元、隔离单间、护士站、治疗室、处置室、污物污洗间、设备间、谈话间、库房、办公用房、值班用房等。根据不同规模，可选择与抢救室部分用房共享，或者根据需要全部完整设置。</w:t>
            </w:r>
          </w:p>
        </w:tc>
      </w:tr>
      <w:tr w14:paraId="55375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8340949">
            <w:pPr>
              <w:widowControl/>
              <w:rPr>
                <w:rFonts w:ascii="宋体" w:hAnsi="宋体" w:eastAsia="宋体" w:cs="微软雅黑"/>
                <w:bCs/>
                <w:kern w:val="0"/>
                <w:bdr w:val="single" w:color="auto" w:sz="4" w:space="0"/>
              </w:rPr>
            </w:pPr>
            <w:r>
              <w:rPr>
                <w:rFonts w:hint="eastAsia" w:ascii="宋体" w:hAnsi="宋体" w:eastAsia="宋体"/>
                <w:bCs/>
                <w:bdr w:val="single" w:color="auto" w:sz="4" w:space="0"/>
              </w:rPr>
              <w:t>5.3.6 观察用房设置应符合下列要求：</w:t>
            </w:r>
          </w:p>
          <w:p w14:paraId="6F54ECF7">
            <w:pPr>
              <w:ind w:firstLine="480" w:firstLineChars="200"/>
              <w:rPr>
                <w:rFonts w:ascii="宋体" w:hAnsi="宋体" w:eastAsia="宋体" w:cs="宋体"/>
                <w:bCs/>
                <w:bdr w:val="single" w:color="auto" w:sz="4" w:space="0"/>
              </w:rPr>
            </w:pPr>
            <w:r>
              <w:rPr>
                <w:rFonts w:hint="eastAsia" w:ascii="宋体" w:hAnsi="宋体" w:eastAsia="宋体" w:cs="宋体"/>
                <w:bCs/>
                <w:bdr w:val="single" w:color="auto" w:sz="4" w:space="0"/>
              </w:rPr>
              <w:t>1 平行排列的观察床净距不应小于1.20m，有吊帘分隔时不应小于1.40m，床沿与墙面的净距不应小于1.00m；</w:t>
            </w:r>
          </w:p>
          <w:p w14:paraId="2813B7D8">
            <w:pPr>
              <w:ind w:firstLine="480" w:firstLineChars="200"/>
              <w:rPr>
                <w:rFonts w:ascii="宋体" w:hAnsi="宋体" w:eastAsia="宋体" w:cs="宋体"/>
                <w:bCs/>
                <w:bdr w:val="single" w:color="auto" w:sz="4" w:space="0"/>
              </w:rPr>
            </w:pPr>
            <w:r>
              <w:rPr>
                <w:rFonts w:hint="eastAsia" w:ascii="宋体" w:hAnsi="宋体" w:eastAsia="宋体" w:cs="宋体"/>
                <w:bCs/>
                <w:bdr w:val="single" w:color="auto" w:sz="4" w:space="0"/>
              </w:rPr>
              <w:t>2 可设置隔离观察室或隔离单元，并应设单独出入口，入口处应设缓冲区及就地消毒设施；</w:t>
            </w:r>
          </w:p>
          <w:p w14:paraId="0C9D9626">
            <w:pPr>
              <w:ind w:firstLine="480" w:firstLineChars="200"/>
            </w:pPr>
            <w:r>
              <w:rPr>
                <w:rFonts w:hint="eastAsia" w:ascii="宋体" w:hAnsi="宋体" w:eastAsia="宋体" w:cs="宋体"/>
                <w:bCs/>
                <w:bdr w:val="single" w:color="auto" w:sz="4" w:space="0"/>
              </w:rPr>
              <w:t>3 宜设氧气、吸引等医疗气体的管道系统终端。</w:t>
            </w:r>
          </w:p>
        </w:tc>
        <w:tc>
          <w:tcPr>
            <w:tcW w:w="4261" w:type="dxa"/>
            <w:shd w:val="clear" w:color="auto" w:fill="auto"/>
          </w:tcPr>
          <w:p w14:paraId="67EC9620">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6 </w:t>
            </w:r>
            <w:r>
              <w:rPr>
                <w:rFonts w:hint="eastAsia" w:ascii="宋体" w:hAnsi="宋体" w:eastAsia="宋体" w:cs="宋体"/>
                <w:bCs/>
                <w:kern w:val="0"/>
                <w:u w:val="single"/>
              </w:rPr>
              <w:t>急诊诊疗区域用房应符合下列要求：</w:t>
            </w:r>
          </w:p>
          <w:p w14:paraId="7A484315">
            <w:pPr>
              <w:ind w:firstLine="480" w:firstLineChars="200"/>
              <w:rPr>
                <w:rFonts w:ascii="宋体" w:hAnsi="宋体" w:eastAsia="宋体" w:cs="黑体"/>
                <w:u w:val="single"/>
              </w:rPr>
            </w:pPr>
            <w:r>
              <w:rPr>
                <w:rFonts w:hint="eastAsia" w:ascii="宋体" w:hAnsi="宋体" w:eastAsia="宋体" w:cs="黑体"/>
                <w:u w:val="single"/>
              </w:rPr>
              <w:t xml:space="preserve">1 </w:t>
            </w:r>
            <w:r>
              <w:rPr>
                <w:rFonts w:ascii="宋体" w:hAnsi="宋体" w:eastAsia="宋体" w:cs="黑体"/>
                <w:u w:val="single"/>
              </w:rPr>
              <w:t>急诊诊疗区域宜设置候诊区</w:t>
            </w:r>
            <w:r>
              <w:rPr>
                <w:rFonts w:hint="eastAsia" w:ascii="宋体" w:hAnsi="宋体" w:eastAsia="宋体" w:cs="黑体"/>
                <w:u w:val="single"/>
              </w:rPr>
              <w:t>、诊室、专科治疗室、专科检查室等急诊诊疗用房和换药室、石膏间、注射室、雾化吸入室、综合治疗室等治疗用房。</w:t>
            </w:r>
          </w:p>
          <w:p w14:paraId="41426754">
            <w:pPr>
              <w:ind w:firstLine="480" w:firstLineChars="200"/>
              <w:rPr>
                <w:rFonts w:ascii="宋体" w:hAnsi="宋体" w:eastAsia="宋体" w:cs="黑体"/>
                <w:u w:val="single"/>
              </w:rPr>
            </w:pPr>
            <w:r>
              <w:rPr>
                <w:rFonts w:ascii="宋体" w:hAnsi="宋体" w:eastAsia="宋体" w:cs="黑体"/>
                <w:u w:val="single"/>
              </w:rPr>
              <w:t xml:space="preserve">2 </w:t>
            </w:r>
            <w:r>
              <w:rPr>
                <w:rFonts w:hint="eastAsia" w:ascii="宋体" w:hAnsi="宋体" w:eastAsia="宋体" w:cs="黑体"/>
                <w:u w:val="single"/>
              </w:rPr>
              <w:t>急诊专科开设与诊室数量根据医院急诊流量和运营模式确定。儿科流量较大的医院可独立设置儿科急诊诊疗区。</w:t>
            </w:r>
          </w:p>
          <w:p w14:paraId="2B82CE2B">
            <w:pPr>
              <w:ind w:firstLine="480" w:firstLineChars="200"/>
              <w:rPr>
                <w:rFonts w:ascii="宋体" w:hAnsi="宋体" w:eastAsia="宋体" w:cs="黑体"/>
                <w:u w:val="single"/>
              </w:rPr>
            </w:pPr>
            <w:r>
              <w:rPr>
                <w:rFonts w:hint="eastAsia" w:ascii="宋体" w:hAnsi="宋体" w:eastAsia="宋体" w:cs="黑体"/>
                <w:u w:val="single"/>
              </w:rPr>
              <w:t>3 急诊区域与医技检查区域一体化设置或者毗邻设置。</w:t>
            </w:r>
          </w:p>
          <w:p w14:paraId="542C1A7E">
            <w:pPr>
              <w:ind w:firstLine="480" w:firstLineChars="200"/>
              <w:rPr>
                <w:rFonts w:ascii="宋体" w:hAnsi="宋体" w:eastAsia="宋体" w:cs="黑体"/>
                <w:u w:val="single"/>
              </w:rPr>
            </w:pPr>
            <w:r>
              <w:rPr>
                <w:rFonts w:ascii="宋体" w:hAnsi="宋体" w:eastAsia="宋体" w:cs="黑体"/>
                <w:u w:val="single"/>
              </w:rPr>
              <w:t xml:space="preserve">4 </w:t>
            </w:r>
            <w:r>
              <w:rPr>
                <w:rFonts w:hint="eastAsia" w:ascii="宋体" w:hAnsi="宋体" w:eastAsia="宋体" w:cs="黑体"/>
                <w:u w:val="single"/>
              </w:rPr>
              <w:t>急诊诊室面积不应小于12m²，宜采用门净宽1.2m的单门或门净宽1.3m的子母门；诊室内设置如5.2.4门诊常规诊室设置。妇产科、耳鼻喉科、口腔科、眼科等根据不同专科特点设置妇检床、综合治疗台等检查治疗设施。</w:t>
            </w:r>
          </w:p>
          <w:p w14:paraId="1495E322">
            <w:pPr>
              <w:ind w:firstLine="480" w:firstLineChars="200"/>
            </w:pPr>
            <w:r>
              <w:rPr>
                <w:rFonts w:hint="eastAsia" w:ascii="宋体" w:hAnsi="宋体" w:eastAsia="宋体" w:cs="黑体"/>
                <w:u w:val="single"/>
              </w:rPr>
              <w:t>5 急诊诊室和治疗检查室应配置医用气体、洗手池及非接触式龙头。急诊检查和治疗室宜配置空气消毒机。</w:t>
            </w:r>
          </w:p>
        </w:tc>
      </w:tr>
      <w:tr w14:paraId="755F3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CE325BD"/>
        </w:tc>
        <w:tc>
          <w:tcPr>
            <w:tcW w:w="4261" w:type="dxa"/>
            <w:shd w:val="clear" w:color="auto" w:fill="auto"/>
          </w:tcPr>
          <w:p w14:paraId="42FD713F">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7 </w:t>
            </w:r>
            <w:r>
              <w:rPr>
                <w:rFonts w:hint="eastAsia" w:ascii="宋体" w:hAnsi="宋体" w:eastAsia="宋体" w:cs="宋体"/>
                <w:bCs/>
                <w:kern w:val="0"/>
                <w:u w:val="single"/>
              </w:rPr>
              <w:t>急诊医技检查用房应符合下列要求：</w:t>
            </w:r>
          </w:p>
          <w:p w14:paraId="0FEE62D2">
            <w:pPr>
              <w:ind w:firstLine="480" w:firstLineChars="200"/>
              <w:rPr>
                <w:rFonts w:ascii="宋体" w:hAnsi="宋体" w:eastAsia="宋体" w:cs="黑体"/>
                <w:u w:val="single"/>
              </w:rPr>
            </w:pPr>
            <w:r>
              <w:rPr>
                <w:rFonts w:hint="eastAsia" w:ascii="宋体" w:hAnsi="宋体" w:eastAsia="宋体" w:cs="黑体"/>
                <w:u w:val="single"/>
              </w:rPr>
              <w:t>1 急诊医技检查应满足急诊应急诊治和绿色通道的医技检查服务要求，宜设置放射、超声、心电等医技检查，CT、MRI、DSA、内镜检查可一体化设置或有便捷通道。</w:t>
            </w:r>
          </w:p>
          <w:p w14:paraId="312BB8D9">
            <w:pPr>
              <w:ind w:firstLine="480" w:firstLineChars="200"/>
            </w:pPr>
            <w:r>
              <w:rPr>
                <w:rFonts w:ascii="宋体" w:hAnsi="宋体" w:eastAsia="宋体" w:cs="黑体"/>
                <w:u w:val="single"/>
              </w:rPr>
              <w:t xml:space="preserve">2 </w:t>
            </w:r>
            <w:r>
              <w:rPr>
                <w:rFonts w:hint="eastAsia" w:ascii="宋体" w:hAnsi="宋体" w:eastAsia="宋体" w:cs="黑体"/>
                <w:u w:val="single"/>
              </w:rPr>
              <w:t>急诊区域内宜设置急诊检验，并与医院检验科应设有快捷标本传送通道。</w:t>
            </w:r>
          </w:p>
        </w:tc>
      </w:tr>
      <w:tr w14:paraId="3FBC0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4A735A0"/>
        </w:tc>
        <w:tc>
          <w:tcPr>
            <w:tcW w:w="4261" w:type="dxa"/>
            <w:shd w:val="clear" w:color="auto" w:fill="auto"/>
          </w:tcPr>
          <w:p w14:paraId="79E9628C">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8 </w:t>
            </w:r>
            <w:r>
              <w:rPr>
                <w:rFonts w:hint="eastAsia" w:ascii="宋体" w:hAnsi="宋体" w:eastAsia="宋体" w:cs="宋体"/>
                <w:bCs/>
                <w:kern w:val="0"/>
                <w:u w:val="single"/>
              </w:rPr>
              <w:t>急诊留观输液用房应符合下列要求：</w:t>
            </w:r>
          </w:p>
          <w:p w14:paraId="097693A4">
            <w:pPr>
              <w:ind w:firstLine="480" w:firstLineChars="200"/>
              <w:rPr>
                <w:rFonts w:ascii="宋体" w:hAnsi="宋体" w:eastAsia="宋体" w:cs="黑体"/>
                <w:u w:val="single"/>
              </w:rPr>
            </w:pPr>
            <w:r>
              <w:rPr>
                <w:rFonts w:hint="eastAsia" w:ascii="宋体" w:hAnsi="宋体" w:eastAsia="宋体" w:cs="黑体"/>
                <w:u w:val="single"/>
              </w:rPr>
              <w:t>1 急诊输液区应区分成人与儿童，并设配套的配液间、治疗室、处置室、库房等。急诊输液空间规模应根据医院输液流量确定。</w:t>
            </w:r>
          </w:p>
          <w:p w14:paraId="250ABAF2">
            <w:pPr>
              <w:ind w:firstLine="480" w:firstLineChars="200"/>
              <w:rPr>
                <w:rFonts w:ascii="宋体" w:hAnsi="宋体" w:eastAsia="宋体" w:cs="黑体"/>
                <w:u w:val="single"/>
              </w:rPr>
            </w:pPr>
            <w:r>
              <w:rPr>
                <w:rFonts w:hint="eastAsia" w:ascii="宋体" w:hAnsi="宋体" w:eastAsia="宋体" w:cs="黑体"/>
                <w:u w:val="single"/>
              </w:rPr>
              <w:t>2 留观区域根据医院的不同等级和业务需求配置不同的床位数量，宜采用病房布置模式，并配置不同配套功能用房和辅助用房。</w:t>
            </w:r>
          </w:p>
          <w:p w14:paraId="27B28A84">
            <w:pPr>
              <w:ind w:firstLine="480" w:firstLineChars="200"/>
              <w:rPr>
                <w:rFonts w:ascii="宋体" w:hAnsi="宋体" w:eastAsia="宋体" w:cs="黑体"/>
                <w:u w:val="single"/>
              </w:rPr>
            </w:pPr>
            <w:r>
              <w:rPr>
                <w:rFonts w:ascii="宋体" w:hAnsi="宋体" w:eastAsia="宋体" w:cs="黑体"/>
                <w:u w:val="single"/>
              </w:rPr>
              <w:t xml:space="preserve">3 </w:t>
            </w:r>
            <w:r>
              <w:rPr>
                <w:rFonts w:hint="eastAsia" w:ascii="宋体" w:hAnsi="宋体" w:eastAsia="宋体" w:cs="黑体"/>
                <w:u w:val="single"/>
              </w:rPr>
              <w:t>留观室也可与急诊病房一体化设置。</w:t>
            </w:r>
          </w:p>
          <w:p w14:paraId="0778B110">
            <w:pPr>
              <w:ind w:firstLine="480" w:firstLineChars="200"/>
              <w:rPr>
                <w:rFonts w:ascii="宋体" w:hAnsi="宋体" w:eastAsia="宋体" w:cs="黑体"/>
                <w:u w:val="single"/>
              </w:rPr>
            </w:pPr>
            <w:r>
              <w:rPr>
                <w:rFonts w:ascii="宋体" w:hAnsi="宋体" w:eastAsia="宋体" w:cs="黑体"/>
                <w:u w:val="single"/>
              </w:rPr>
              <w:t xml:space="preserve">4 </w:t>
            </w:r>
            <w:r>
              <w:rPr>
                <w:rFonts w:hint="eastAsia" w:ascii="宋体" w:hAnsi="宋体" w:eastAsia="宋体" w:cs="黑体"/>
                <w:u w:val="single"/>
              </w:rPr>
              <w:t>留观区域可设置隔离观察室或隔离单元。</w:t>
            </w:r>
          </w:p>
          <w:p w14:paraId="3C2D74C0">
            <w:pPr>
              <w:ind w:firstLine="480" w:firstLineChars="200"/>
              <w:rPr>
                <w:rFonts w:ascii="宋体" w:hAnsi="宋体" w:eastAsia="宋体" w:cs="黑体"/>
                <w:u w:val="single"/>
              </w:rPr>
            </w:pPr>
            <w:r>
              <w:rPr>
                <w:rFonts w:ascii="宋体" w:hAnsi="宋体" w:eastAsia="宋体" w:cs="黑体"/>
                <w:u w:val="single"/>
              </w:rPr>
              <w:t xml:space="preserve">5 </w:t>
            </w:r>
            <w:r>
              <w:rPr>
                <w:rFonts w:hint="eastAsia" w:ascii="宋体" w:hAnsi="宋体" w:eastAsia="宋体" w:cs="黑体"/>
                <w:u w:val="single"/>
              </w:rPr>
              <w:t>平行排列的观察床净距不宜小于1.2m，有吊帘分隔时不宜小于1.4m，床沿与墙面的净距不宜小于1.0m；护士站可以观察到病床区域。</w:t>
            </w:r>
          </w:p>
          <w:p w14:paraId="0DC0FD24">
            <w:pPr>
              <w:ind w:firstLine="480" w:firstLineChars="200"/>
            </w:pPr>
            <w:r>
              <w:rPr>
                <w:rFonts w:ascii="宋体" w:hAnsi="宋体" w:eastAsia="宋体" w:cs="黑体"/>
                <w:u w:val="single"/>
              </w:rPr>
              <w:t xml:space="preserve">6 </w:t>
            </w:r>
            <w:r>
              <w:rPr>
                <w:rFonts w:hint="eastAsia" w:ascii="宋体" w:hAnsi="宋体" w:eastAsia="宋体" w:cs="黑体"/>
                <w:u w:val="single"/>
              </w:rPr>
              <w:t>观察室宜设氧气、吸引等医疗气体的管道系统终端。</w:t>
            </w:r>
          </w:p>
        </w:tc>
      </w:tr>
      <w:tr w14:paraId="39431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0FA4603"/>
        </w:tc>
        <w:tc>
          <w:tcPr>
            <w:tcW w:w="4261" w:type="dxa"/>
            <w:shd w:val="clear" w:color="auto" w:fill="auto"/>
          </w:tcPr>
          <w:p w14:paraId="67372436">
            <w:pPr>
              <w:rPr>
                <w:rFonts w:ascii="宋体" w:hAnsi="宋体" w:eastAsia="宋体" w:cs="宋体"/>
                <w:bCs/>
                <w:kern w:val="0"/>
                <w:u w:val="single"/>
              </w:rPr>
            </w:pPr>
            <w:r>
              <w:rPr>
                <w:rFonts w:hint="eastAsia" w:ascii="宋体" w:hAnsi="宋体" w:eastAsia="宋体" w:cs="宋体"/>
                <w:bCs/>
                <w:kern w:val="0"/>
                <w:u w:val="single"/>
              </w:rPr>
              <w:t>5.3.</w:t>
            </w:r>
            <w:r>
              <w:rPr>
                <w:rFonts w:ascii="宋体" w:hAnsi="宋体" w:eastAsia="宋体" w:cs="宋体"/>
                <w:bCs/>
                <w:kern w:val="0"/>
                <w:u w:val="single"/>
              </w:rPr>
              <w:t xml:space="preserve">9 </w:t>
            </w:r>
            <w:r>
              <w:rPr>
                <w:rFonts w:hint="eastAsia" w:ascii="宋体" w:hAnsi="宋体" w:eastAsia="宋体" w:cs="宋体"/>
                <w:bCs/>
                <w:kern w:val="0"/>
                <w:u w:val="single"/>
              </w:rPr>
              <w:t>急诊病房设计应符合下列要求：</w:t>
            </w:r>
          </w:p>
          <w:p w14:paraId="49752839">
            <w:pPr>
              <w:ind w:firstLine="480" w:firstLineChars="200"/>
              <w:rPr>
                <w:rFonts w:ascii="宋体" w:hAnsi="宋体" w:eastAsia="宋体" w:cs="黑体"/>
                <w:u w:val="single"/>
              </w:rPr>
            </w:pPr>
            <w:r>
              <w:rPr>
                <w:rFonts w:hint="eastAsia" w:ascii="宋体" w:hAnsi="宋体" w:eastAsia="宋体" w:cs="黑体"/>
                <w:u w:val="single"/>
              </w:rPr>
              <w:t>1 急诊病房区病室及配套用房设置参考住院病房设计，可与急诊留观或医院日间病房合并部署；</w:t>
            </w:r>
          </w:p>
          <w:p w14:paraId="6C5CA56C">
            <w:pPr>
              <w:ind w:firstLine="480" w:firstLineChars="200"/>
            </w:pPr>
            <w:r>
              <w:rPr>
                <w:rFonts w:ascii="宋体" w:hAnsi="宋体" w:eastAsia="宋体" w:cs="黑体"/>
                <w:u w:val="single"/>
              </w:rPr>
              <w:t xml:space="preserve">2 </w:t>
            </w:r>
            <w:r>
              <w:rPr>
                <w:rFonts w:hint="eastAsia" w:ascii="宋体" w:hAnsi="宋体" w:eastAsia="宋体" w:cs="黑体"/>
                <w:u w:val="single"/>
              </w:rPr>
              <w:t>急诊病房床位规模根据医院急诊定位、医院等级决定。</w:t>
            </w:r>
          </w:p>
        </w:tc>
      </w:tr>
      <w:tr w14:paraId="68C8F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BF3A3FF"/>
        </w:tc>
        <w:tc>
          <w:tcPr>
            <w:tcW w:w="4261" w:type="dxa"/>
            <w:shd w:val="clear" w:color="auto" w:fill="auto"/>
          </w:tcPr>
          <w:p w14:paraId="1CE71979">
            <w:r>
              <w:rPr>
                <w:rFonts w:hint="eastAsia" w:ascii="宋体" w:hAnsi="宋体" w:eastAsia="宋体" w:cs="宋体"/>
                <w:bCs/>
                <w:kern w:val="0"/>
                <w:u w:val="single"/>
              </w:rPr>
              <w:t>5.3.</w:t>
            </w:r>
            <w:r>
              <w:rPr>
                <w:rFonts w:ascii="宋体" w:hAnsi="宋体" w:eastAsia="宋体" w:cs="宋体"/>
                <w:bCs/>
                <w:kern w:val="0"/>
                <w:u w:val="single"/>
              </w:rPr>
              <w:t xml:space="preserve">10 </w:t>
            </w:r>
            <w:r>
              <w:rPr>
                <w:rFonts w:hint="eastAsia" w:ascii="宋体" w:hAnsi="宋体" w:eastAsia="宋体" w:cs="宋体"/>
                <w:bCs/>
                <w:kern w:val="0"/>
                <w:u w:val="single"/>
              </w:rPr>
              <w:t>急诊医辅工作区宜设置主任办公室、医生办公室、护士长办公室、示教室、男女值班室、更衣室、库房、医护卫生间、配餐间等。</w:t>
            </w:r>
          </w:p>
        </w:tc>
      </w:tr>
      <w:tr w14:paraId="488A6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5392ED1">
            <w:pPr>
              <w:jc w:val="center"/>
              <w:rPr>
                <w:rFonts w:asciiTheme="minorEastAsia" w:hAnsiTheme="minorEastAsia"/>
              </w:rPr>
            </w:pPr>
            <w:bookmarkStart w:id="8" w:name="_Toc85880724"/>
            <w:r>
              <w:rPr>
                <w:rFonts w:hint="eastAsia" w:asciiTheme="minorEastAsia" w:hAnsiTheme="minorEastAsia"/>
              </w:rPr>
              <w:t>5.4 感染疾病门诊用房</w:t>
            </w:r>
            <w:bookmarkEnd w:id="8"/>
          </w:p>
        </w:tc>
        <w:tc>
          <w:tcPr>
            <w:tcW w:w="4261" w:type="dxa"/>
            <w:shd w:val="clear" w:color="auto" w:fill="auto"/>
          </w:tcPr>
          <w:p w14:paraId="1DC5CE5C">
            <w:pPr>
              <w:jc w:val="center"/>
              <w:rPr>
                <w:rFonts w:asciiTheme="minorEastAsia" w:hAnsiTheme="minorEastAsia"/>
              </w:rPr>
            </w:pPr>
            <w:r>
              <w:rPr>
                <w:rFonts w:hint="eastAsia" w:asciiTheme="minorEastAsia" w:hAnsiTheme="minorEastAsia"/>
              </w:rPr>
              <w:t>5.4 感染疾病门诊用房</w:t>
            </w:r>
          </w:p>
        </w:tc>
      </w:tr>
      <w:tr w14:paraId="527D9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1DF6216">
            <w:r>
              <w:rPr>
                <w:rFonts w:hint="eastAsia" w:asciiTheme="minorEastAsia" w:hAnsiTheme="minorEastAsia"/>
                <w:bCs/>
              </w:rPr>
              <w:t>5.4.1 消化道、呼吸道等感染疾病门诊均应自成一区，</w:t>
            </w:r>
            <w:r>
              <w:rPr>
                <w:rFonts w:hint="eastAsia" w:asciiTheme="minorEastAsia" w:hAnsiTheme="minorEastAsia"/>
                <w:bCs/>
                <w:bdr w:val="single" w:color="auto" w:sz="4" w:space="0"/>
              </w:rPr>
              <w:t>并</w:t>
            </w:r>
            <w:r>
              <w:rPr>
                <w:rFonts w:hint="eastAsia" w:asciiTheme="minorEastAsia" w:hAnsiTheme="minorEastAsia"/>
                <w:bCs/>
              </w:rPr>
              <w:t>应单独设置出入口。</w:t>
            </w:r>
          </w:p>
        </w:tc>
        <w:tc>
          <w:tcPr>
            <w:tcW w:w="4261" w:type="dxa"/>
            <w:shd w:val="clear" w:color="auto" w:fill="auto"/>
          </w:tcPr>
          <w:p w14:paraId="71C29FE9">
            <w:r>
              <w:rPr>
                <w:rFonts w:hint="eastAsia" w:asciiTheme="minorEastAsia" w:hAnsiTheme="minorEastAsia"/>
                <w:bCs/>
              </w:rPr>
              <w:t>5.4.1 消化道、呼吸道等感染疾病门诊均应自成一区，</w:t>
            </w:r>
            <w:r>
              <w:rPr>
                <w:rFonts w:hint="eastAsia" w:cs="宋体" w:asciiTheme="minorEastAsia" w:hAnsiTheme="minorEastAsia"/>
                <w:bCs/>
                <w:u w:val="single"/>
              </w:rPr>
              <w:t>宜邻近急诊，与普通门（急）诊设置严密隔离设施。</w:t>
            </w:r>
            <w:r>
              <w:rPr>
                <w:rFonts w:hint="eastAsia" w:asciiTheme="minorEastAsia" w:hAnsiTheme="minorEastAsia"/>
                <w:bCs/>
              </w:rPr>
              <w:t>应单独设置出入口</w:t>
            </w:r>
            <w:r>
              <w:rPr>
                <w:rFonts w:hint="eastAsia" w:cs="宋体" w:asciiTheme="minorEastAsia" w:hAnsiTheme="minorEastAsia"/>
                <w:bCs/>
                <w:u w:val="single"/>
              </w:rPr>
              <w:t>，及醒目标识新建感染疾病外墙与周围建筑及人员密集活动空间间距不小于2</w:t>
            </w:r>
            <w:r>
              <w:rPr>
                <w:rFonts w:cs="宋体" w:asciiTheme="minorEastAsia" w:hAnsiTheme="minorEastAsia"/>
                <w:bCs/>
                <w:u w:val="single"/>
              </w:rPr>
              <w:t>0米</w:t>
            </w:r>
            <w:r>
              <w:rPr>
                <w:rFonts w:hint="eastAsia" w:asciiTheme="minorEastAsia" w:hAnsiTheme="minorEastAsia"/>
                <w:bCs/>
              </w:rPr>
              <w:t>。</w:t>
            </w:r>
          </w:p>
        </w:tc>
      </w:tr>
      <w:tr w14:paraId="05E5D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601DFB3">
            <w:r>
              <w:rPr>
                <w:rFonts w:hint="eastAsia" w:asciiTheme="minorEastAsia" w:hAnsiTheme="minorEastAsia"/>
                <w:bCs/>
              </w:rPr>
              <w:t>5.4.2 感染门诊应根据具体情况设置分诊、接诊、挂号、收费、药房、检验、诊查、</w:t>
            </w:r>
            <w:r>
              <w:rPr>
                <w:rFonts w:hint="eastAsia" w:asciiTheme="minorEastAsia" w:hAnsiTheme="minorEastAsia"/>
                <w:bCs/>
                <w:bdr w:val="single" w:color="auto" w:sz="4" w:space="0"/>
              </w:rPr>
              <w:t>隔离观察</w:t>
            </w:r>
            <w:r>
              <w:rPr>
                <w:rFonts w:hint="eastAsia" w:asciiTheme="minorEastAsia" w:hAnsiTheme="minorEastAsia"/>
                <w:bCs/>
              </w:rPr>
              <w:t>、治疗、医护人员更衣、缓冲、专用卫生间等功能用房。</w:t>
            </w:r>
          </w:p>
        </w:tc>
        <w:tc>
          <w:tcPr>
            <w:tcW w:w="4261" w:type="dxa"/>
            <w:shd w:val="clear" w:color="auto" w:fill="auto"/>
          </w:tcPr>
          <w:p w14:paraId="00EFADA9">
            <w:r>
              <w:rPr>
                <w:rFonts w:hint="eastAsia" w:asciiTheme="minorEastAsia" w:hAnsiTheme="minorEastAsia"/>
                <w:bCs/>
              </w:rPr>
              <w:t>5.4.2 感染</w:t>
            </w:r>
            <w:r>
              <w:rPr>
                <w:rFonts w:hint="eastAsia" w:asciiTheme="minorEastAsia" w:hAnsiTheme="minorEastAsia"/>
                <w:bCs/>
                <w:u w:val="single"/>
              </w:rPr>
              <w:t>疾病</w:t>
            </w:r>
            <w:r>
              <w:rPr>
                <w:rFonts w:hint="eastAsia" w:asciiTheme="minorEastAsia" w:hAnsiTheme="minorEastAsia"/>
                <w:bCs/>
              </w:rPr>
              <w:t>门诊应根据具体情况设置</w:t>
            </w:r>
            <w:r>
              <w:rPr>
                <w:rFonts w:hint="eastAsia" w:asciiTheme="minorEastAsia" w:hAnsiTheme="minorEastAsia"/>
                <w:bCs/>
                <w:u w:val="single"/>
              </w:rPr>
              <w:t>预检</w:t>
            </w:r>
            <w:r>
              <w:rPr>
                <w:rFonts w:hint="eastAsia" w:asciiTheme="minorEastAsia" w:hAnsiTheme="minorEastAsia"/>
                <w:bCs/>
              </w:rPr>
              <w:t>分诊、接诊、挂号、收费、药房、检验、诊查、</w:t>
            </w:r>
            <w:r>
              <w:rPr>
                <w:rFonts w:hint="eastAsia" w:asciiTheme="minorEastAsia" w:hAnsiTheme="minorEastAsia"/>
                <w:bCs/>
                <w:u w:val="single"/>
              </w:rPr>
              <w:t>留观区</w:t>
            </w:r>
            <w:r>
              <w:rPr>
                <w:rFonts w:hint="eastAsia" w:asciiTheme="minorEastAsia" w:hAnsiTheme="minorEastAsia"/>
                <w:bCs/>
              </w:rPr>
              <w:t>、治疗、医护人员更衣、缓冲、专用卫生间等功能用房。</w:t>
            </w:r>
          </w:p>
        </w:tc>
      </w:tr>
      <w:tr w14:paraId="69E1A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B0F49A3"/>
        </w:tc>
        <w:tc>
          <w:tcPr>
            <w:tcW w:w="4261" w:type="dxa"/>
            <w:shd w:val="clear" w:color="auto" w:fill="auto"/>
          </w:tcPr>
          <w:p w14:paraId="6488A9A9">
            <w:r>
              <w:rPr>
                <w:rFonts w:hint="eastAsia" w:cs="黑体" w:asciiTheme="minorEastAsia" w:hAnsiTheme="minorEastAsia"/>
                <w:u w:val="single"/>
              </w:rPr>
              <w:t>5.4.3 感染疾病门诊可根据需要，设置CT、</w:t>
            </w:r>
            <w:r>
              <w:rPr>
                <w:rFonts w:cs="黑体" w:asciiTheme="minorEastAsia" w:hAnsiTheme="minorEastAsia"/>
                <w:u w:val="single"/>
              </w:rPr>
              <w:t>PCR、</w:t>
            </w:r>
            <w:r>
              <w:rPr>
                <w:rFonts w:hint="eastAsia" w:cs="黑体" w:asciiTheme="minorEastAsia" w:hAnsiTheme="minorEastAsia"/>
                <w:u w:val="single"/>
              </w:rPr>
              <w:t>负压隔离观察室等功能用房。</w:t>
            </w:r>
          </w:p>
        </w:tc>
      </w:tr>
      <w:tr w14:paraId="200BC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47A61C2"/>
        </w:tc>
        <w:tc>
          <w:tcPr>
            <w:tcW w:w="4261" w:type="dxa"/>
            <w:shd w:val="clear" w:color="auto" w:fill="auto"/>
          </w:tcPr>
          <w:p w14:paraId="56052FE9">
            <w:r>
              <w:rPr>
                <w:rFonts w:hint="eastAsia" w:cs="黑体" w:asciiTheme="minorEastAsia" w:hAnsiTheme="minorEastAsia"/>
                <w:u w:val="single"/>
              </w:rPr>
              <w:t>5.4.4</w:t>
            </w:r>
            <w:r>
              <w:rPr>
                <w:rFonts w:cs="黑体" w:asciiTheme="minorEastAsia" w:hAnsiTheme="minorEastAsia"/>
                <w:u w:val="single"/>
              </w:rPr>
              <w:t xml:space="preserve"> </w:t>
            </w:r>
            <w:r>
              <w:rPr>
                <w:rFonts w:hint="eastAsia" w:cs="黑体" w:asciiTheme="minorEastAsia" w:hAnsiTheme="minorEastAsia"/>
                <w:u w:val="single"/>
              </w:rPr>
              <w:t>感染疾病门诊应划分为清洁区、半污染区、污染区，并设置醒目标识。三区相互应无交叉，并设缓冲。</w:t>
            </w:r>
          </w:p>
        </w:tc>
      </w:tr>
      <w:tr w14:paraId="1828C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014A94D"/>
        </w:tc>
        <w:tc>
          <w:tcPr>
            <w:tcW w:w="4261" w:type="dxa"/>
            <w:shd w:val="clear" w:color="auto" w:fill="auto"/>
          </w:tcPr>
          <w:p w14:paraId="53AFBE6A">
            <w:r>
              <w:rPr>
                <w:rFonts w:hint="eastAsia" w:cs="黑体" w:asciiTheme="minorEastAsia" w:hAnsiTheme="minorEastAsia"/>
                <w:u w:val="single"/>
              </w:rPr>
              <w:t>5.4.5</w:t>
            </w:r>
            <w:r>
              <w:rPr>
                <w:rFonts w:cs="黑体" w:asciiTheme="minorEastAsia" w:hAnsiTheme="minorEastAsia"/>
                <w:u w:val="single"/>
              </w:rPr>
              <w:t xml:space="preserve"> </w:t>
            </w:r>
            <w:r>
              <w:rPr>
                <w:rFonts w:hint="eastAsia" w:cs="黑体" w:asciiTheme="minorEastAsia" w:hAnsiTheme="minorEastAsia"/>
                <w:u w:val="single"/>
              </w:rPr>
              <w:t>清洁区包括医务人员出入口、更衣、值班休息室、医务人员卫生间、淋浴间、清洁库房等。</w:t>
            </w:r>
          </w:p>
        </w:tc>
      </w:tr>
      <w:tr w14:paraId="379DE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6232203"/>
        </w:tc>
        <w:tc>
          <w:tcPr>
            <w:tcW w:w="4261" w:type="dxa"/>
            <w:shd w:val="clear" w:color="auto" w:fill="auto"/>
          </w:tcPr>
          <w:p w14:paraId="7CDCA474">
            <w:r>
              <w:rPr>
                <w:rFonts w:hint="eastAsia" w:cs="黑体" w:asciiTheme="minorEastAsia" w:hAnsiTheme="minorEastAsia"/>
                <w:u w:val="single"/>
              </w:rPr>
              <w:t>5.4.6</w:t>
            </w:r>
            <w:r>
              <w:rPr>
                <w:rFonts w:cs="黑体" w:asciiTheme="minorEastAsia" w:hAnsiTheme="minorEastAsia"/>
                <w:u w:val="single"/>
              </w:rPr>
              <w:t xml:space="preserve"> </w:t>
            </w:r>
            <w:r>
              <w:rPr>
                <w:rFonts w:hint="eastAsia" w:cs="黑体" w:asciiTheme="minorEastAsia" w:hAnsiTheme="minorEastAsia"/>
                <w:u w:val="single"/>
              </w:rPr>
              <w:t>半污染区位于清洁区与污染区之间，包括治疗室、消毒室、留观区的护士站、护理走道及缓冲等。</w:t>
            </w:r>
          </w:p>
        </w:tc>
      </w:tr>
      <w:tr w14:paraId="2F9DA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FECFFB8"/>
        </w:tc>
        <w:tc>
          <w:tcPr>
            <w:tcW w:w="4261" w:type="dxa"/>
            <w:shd w:val="clear" w:color="auto" w:fill="auto"/>
          </w:tcPr>
          <w:p w14:paraId="7A9E5038">
            <w:pPr>
              <w:rPr>
                <w:rFonts w:ascii="宋体" w:hAnsi="宋体" w:eastAsia="宋体" w:cs="黑体"/>
                <w:u w:val="single"/>
              </w:rPr>
            </w:pPr>
            <w:r>
              <w:rPr>
                <w:rFonts w:hint="eastAsia" w:ascii="宋体" w:hAnsi="宋体" w:eastAsia="宋体" w:cs="黑体"/>
                <w:u w:val="single"/>
              </w:rPr>
              <w:t>5.4.7</w:t>
            </w:r>
            <w:r>
              <w:rPr>
                <w:rFonts w:ascii="宋体" w:hAnsi="宋体" w:eastAsia="宋体" w:cs="黑体"/>
                <w:u w:val="single"/>
              </w:rPr>
              <w:t xml:space="preserve"> </w:t>
            </w:r>
            <w:r>
              <w:rPr>
                <w:rFonts w:hint="eastAsia" w:ascii="宋体" w:hAnsi="宋体" w:eastAsia="宋体" w:cs="黑体"/>
                <w:u w:val="single"/>
              </w:rPr>
              <w:t>污染区包括患者入口区、预检分诊、候诊、诊室、留观室、放射检查用房、检验、处置室、抢救室、污物间、患者卫生间等。相关设置应当符合以下要求：</w:t>
            </w:r>
          </w:p>
          <w:p w14:paraId="26786710">
            <w:pPr>
              <w:ind w:firstLine="480" w:firstLineChars="200"/>
              <w:rPr>
                <w:rFonts w:ascii="宋体" w:hAnsi="宋体" w:eastAsia="宋体" w:cs="黑体"/>
                <w:u w:val="single"/>
              </w:rPr>
            </w:pPr>
            <w:r>
              <w:rPr>
                <w:rFonts w:hint="eastAsia" w:ascii="宋体" w:hAnsi="宋体" w:eastAsia="宋体" w:cs="黑体"/>
                <w:u w:val="single"/>
              </w:rPr>
              <w:t>1</w:t>
            </w:r>
            <w:r>
              <w:rPr>
                <w:rFonts w:ascii="宋体" w:hAnsi="宋体" w:eastAsia="宋体" w:cs="黑体"/>
                <w:u w:val="single"/>
              </w:rPr>
              <w:t xml:space="preserve"> </w:t>
            </w:r>
            <w:r>
              <w:rPr>
                <w:rFonts w:hint="eastAsia" w:ascii="宋体" w:hAnsi="宋体" w:eastAsia="宋体" w:cs="黑体"/>
                <w:u w:val="single"/>
              </w:rPr>
              <w:t>预诊分诊、挂号、收费、发药等功能宜充分利用信息化手段和自助服务技术，避免人员聚集，减少交叉感染风险。</w:t>
            </w:r>
          </w:p>
          <w:p w14:paraId="741687E2">
            <w:pPr>
              <w:ind w:firstLine="480" w:firstLineChars="200"/>
              <w:rPr>
                <w:rFonts w:ascii="宋体" w:hAnsi="宋体" w:eastAsia="宋体" w:cs="黑体"/>
                <w:u w:val="single"/>
              </w:rPr>
            </w:pPr>
            <w:r>
              <w:rPr>
                <w:rFonts w:hint="eastAsia" w:ascii="宋体" w:hAnsi="宋体" w:eastAsia="宋体" w:cs="黑体"/>
                <w:u w:val="single"/>
              </w:rPr>
              <w:t>2</w:t>
            </w:r>
            <w:r>
              <w:rPr>
                <w:rFonts w:ascii="宋体" w:hAnsi="宋体" w:eastAsia="宋体" w:cs="黑体"/>
                <w:u w:val="single"/>
              </w:rPr>
              <w:t xml:space="preserve"> </w:t>
            </w:r>
            <w:r>
              <w:rPr>
                <w:rFonts w:hint="eastAsia" w:ascii="宋体" w:hAnsi="宋体" w:eastAsia="宋体" w:cs="黑体"/>
                <w:u w:val="single"/>
              </w:rPr>
              <w:t>候诊区宜相对单独设置，并加强通风措施。</w:t>
            </w:r>
          </w:p>
          <w:p w14:paraId="1F67D659">
            <w:pPr>
              <w:ind w:firstLine="480" w:firstLineChars="200"/>
              <w:rPr>
                <w:rFonts w:ascii="宋体" w:hAnsi="宋体" w:eastAsia="宋体" w:cs="黑体"/>
                <w:u w:val="single"/>
              </w:rPr>
            </w:pPr>
            <w:r>
              <w:rPr>
                <w:rFonts w:hint="eastAsia" w:ascii="宋体" w:hAnsi="宋体" w:eastAsia="宋体" w:cs="黑体"/>
                <w:u w:val="single"/>
              </w:rPr>
              <w:t>3</w:t>
            </w:r>
            <w:r>
              <w:rPr>
                <w:rFonts w:ascii="宋体" w:hAnsi="宋体" w:eastAsia="宋体" w:cs="黑体"/>
                <w:u w:val="single"/>
              </w:rPr>
              <w:t xml:space="preserve"> </w:t>
            </w:r>
            <w:r>
              <w:rPr>
                <w:rFonts w:hint="eastAsia" w:ascii="宋体" w:hAnsi="宋体" w:eastAsia="宋体" w:cs="黑体"/>
                <w:u w:val="single"/>
              </w:rPr>
              <w:t>诊室应不少于2间；留观室应为单人间，并设置独立卫生间。留观室应不少于1间。</w:t>
            </w:r>
          </w:p>
          <w:p w14:paraId="121AF7B5">
            <w:pPr>
              <w:ind w:firstLine="480" w:firstLineChars="200"/>
            </w:pPr>
            <w:r>
              <w:rPr>
                <w:rFonts w:hint="eastAsia" w:ascii="宋体" w:hAnsi="宋体" w:eastAsia="宋体" w:cs="黑体"/>
                <w:u w:val="single"/>
              </w:rPr>
              <w:t>4</w:t>
            </w:r>
            <w:r>
              <w:rPr>
                <w:rFonts w:ascii="宋体" w:hAnsi="宋体" w:eastAsia="宋体" w:cs="黑体"/>
                <w:u w:val="single"/>
              </w:rPr>
              <w:t xml:space="preserve"> </w:t>
            </w:r>
            <w:r>
              <w:rPr>
                <w:rFonts w:hint="eastAsia" w:ascii="宋体" w:hAnsi="宋体" w:eastAsia="宋体" w:cs="黑体"/>
                <w:u w:val="single"/>
              </w:rPr>
              <w:t>应当设置独立的患者卫生间。</w:t>
            </w:r>
          </w:p>
        </w:tc>
      </w:tr>
      <w:tr w14:paraId="12BC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20E0103"/>
        </w:tc>
        <w:tc>
          <w:tcPr>
            <w:tcW w:w="4261" w:type="dxa"/>
            <w:shd w:val="clear" w:color="auto" w:fill="auto"/>
          </w:tcPr>
          <w:p w14:paraId="6E49728E">
            <w:r>
              <w:rPr>
                <w:rFonts w:hint="eastAsia" w:cs="黑体" w:asciiTheme="minorEastAsia" w:hAnsiTheme="minorEastAsia"/>
                <w:u w:val="single"/>
              </w:rPr>
              <w:t>5.4.8</w:t>
            </w:r>
            <w:r>
              <w:rPr>
                <w:rFonts w:cs="黑体" w:asciiTheme="minorEastAsia" w:hAnsiTheme="minorEastAsia"/>
                <w:u w:val="single"/>
              </w:rPr>
              <w:t xml:space="preserve"> </w:t>
            </w:r>
            <w:r>
              <w:rPr>
                <w:rFonts w:hint="eastAsia" w:cs="黑体" w:asciiTheme="minorEastAsia" w:hAnsiTheme="minorEastAsia"/>
                <w:u w:val="single"/>
              </w:rPr>
              <w:t>感染疾病门诊应合理</w:t>
            </w:r>
            <w:r>
              <w:rPr>
                <w:rFonts w:cs="黑体" w:asciiTheme="minorEastAsia" w:hAnsiTheme="minorEastAsia"/>
                <w:u w:val="single"/>
              </w:rPr>
              <w:t>规划</w:t>
            </w:r>
            <w:r>
              <w:rPr>
                <w:rFonts w:hint="eastAsia" w:cs="黑体" w:asciiTheme="minorEastAsia" w:hAnsiTheme="minorEastAsia"/>
                <w:u w:val="single"/>
              </w:rPr>
              <w:t>清洁通道、污染通道，及患者出入口和医务人员通道，合理组织清洁物品和污染物品流线，控制院内交叉感染。各出入口、通道应当设有醒目标识，避免误入。</w:t>
            </w:r>
          </w:p>
        </w:tc>
      </w:tr>
      <w:tr w14:paraId="61B79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EBA12BF"/>
        </w:tc>
        <w:tc>
          <w:tcPr>
            <w:tcW w:w="4261" w:type="dxa"/>
            <w:shd w:val="clear" w:color="auto" w:fill="auto"/>
          </w:tcPr>
          <w:p w14:paraId="736E18BA">
            <w:r>
              <w:rPr>
                <w:rFonts w:hint="eastAsia" w:cs="黑体" w:asciiTheme="minorEastAsia" w:hAnsiTheme="minorEastAsia"/>
                <w:u w:val="single"/>
              </w:rPr>
              <w:t>5.4.9</w:t>
            </w:r>
            <w:r>
              <w:rPr>
                <w:rFonts w:cs="黑体" w:asciiTheme="minorEastAsia" w:hAnsiTheme="minorEastAsia"/>
                <w:u w:val="single"/>
              </w:rPr>
              <w:t xml:space="preserve"> </w:t>
            </w:r>
            <w:r>
              <w:rPr>
                <w:rFonts w:hint="eastAsia" w:cs="黑体" w:asciiTheme="minorEastAsia" w:hAnsiTheme="minorEastAsia"/>
                <w:u w:val="single"/>
              </w:rPr>
              <w:t>应根据服务规模及工作流程要求，合理确定缓冲的数量及面积规模。</w:t>
            </w:r>
          </w:p>
        </w:tc>
      </w:tr>
      <w:tr w14:paraId="4D062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7E1C43F"/>
        </w:tc>
        <w:tc>
          <w:tcPr>
            <w:tcW w:w="4261" w:type="dxa"/>
            <w:shd w:val="clear" w:color="auto" w:fill="auto"/>
          </w:tcPr>
          <w:p w14:paraId="2B328ADE">
            <w:r>
              <w:rPr>
                <w:rFonts w:hint="eastAsia" w:cs="黑体" w:asciiTheme="minorEastAsia" w:hAnsiTheme="minorEastAsia"/>
                <w:u w:val="single"/>
              </w:rPr>
              <w:t>5</w:t>
            </w:r>
            <w:r>
              <w:rPr>
                <w:rFonts w:cs="黑体" w:asciiTheme="minorEastAsia" w:hAnsiTheme="minorEastAsia"/>
                <w:u w:val="single"/>
              </w:rPr>
              <w:t>.4.10 发热门诊可单独建设</w:t>
            </w:r>
            <w:r>
              <w:rPr>
                <w:rFonts w:hint="eastAsia" w:cs="黑体" w:asciiTheme="minorEastAsia" w:hAnsiTheme="minorEastAsia"/>
                <w:u w:val="single"/>
              </w:rPr>
              <w:t>，</w:t>
            </w:r>
            <w:r>
              <w:rPr>
                <w:rFonts w:cs="黑体" w:asciiTheme="minorEastAsia" w:hAnsiTheme="minorEastAsia"/>
                <w:u w:val="single"/>
              </w:rPr>
              <w:t>也可与</w:t>
            </w:r>
            <w:r>
              <w:rPr>
                <w:rFonts w:hint="eastAsia" w:cs="黑体" w:asciiTheme="minorEastAsia" w:hAnsiTheme="minorEastAsia"/>
                <w:u w:val="single"/>
              </w:rPr>
              <w:t>感染疾病门诊合并设置，均应满足感染疾病门诊相关要求。</w:t>
            </w:r>
          </w:p>
        </w:tc>
      </w:tr>
      <w:tr w14:paraId="028F6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8F32182">
            <w:pPr>
              <w:jc w:val="center"/>
              <w:rPr>
                <w:rFonts w:asciiTheme="minorEastAsia" w:hAnsiTheme="minorEastAsia"/>
              </w:rPr>
            </w:pPr>
            <w:bookmarkStart w:id="9" w:name="_Toc85880725"/>
            <w:r>
              <w:rPr>
                <w:rFonts w:hint="eastAsia" w:asciiTheme="minorEastAsia" w:hAnsiTheme="minorEastAsia"/>
              </w:rPr>
              <w:t>5.5 住院部用房</w:t>
            </w:r>
            <w:bookmarkEnd w:id="9"/>
          </w:p>
        </w:tc>
        <w:tc>
          <w:tcPr>
            <w:tcW w:w="4261" w:type="dxa"/>
            <w:shd w:val="clear" w:color="auto" w:fill="auto"/>
          </w:tcPr>
          <w:p w14:paraId="12592FE7">
            <w:pPr>
              <w:jc w:val="center"/>
              <w:rPr>
                <w:rFonts w:asciiTheme="minorEastAsia" w:hAnsiTheme="minorEastAsia"/>
              </w:rPr>
            </w:pPr>
            <w:r>
              <w:rPr>
                <w:rFonts w:hint="eastAsia" w:asciiTheme="minorEastAsia" w:hAnsiTheme="minorEastAsia"/>
              </w:rPr>
              <w:t>5.5 住院部用房</w:t>
            </w:r>
          </w:p>
        </w:tc>
      </w:tr>
      <w:tr w14:paraId="1F659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1CEEB14">
            <w:r>
              <w:rPr>
                <w:rFonts w:hint="eastAsia" w:asciiTheme="minorEastAsia" w:hAnsiTheme="minorEastAsia"/>
                <w:bCs/>
              </w:rPr>
              <w:t>5.5.1 住院部应自成一区，设置单独或共用出入口，并应设在医院环境安静、交通方便处，与医技部、手术部和急诊部应有便捷的联系，同时</w:t>
            </w:r>
            <w:r>
              <w:rPr>
                <w:rFonts w:hint="eastAsia" w:asciiTheme="minorEastAsia" w:hAnsiTheme="minorEastAsia"/>
                <w:bCs/>
                <w:bdr w:val="single" w:color="auto" w:sz="4" w:space="0"/>
              </w:rPr>
              <w:t>应靠近</w:t>
            </w:r>
            <w:r>
              <w:rPr>
                <w:rFonts w:hint="eastAsia" w:asciiTheme="minorEastAsia" w:hAnsiTheme="minorEastAsia"/>
                <w:bCs/>
              </w:rPr>
              <w:t>医院的</w:t>
            </w:r>
            <w:r>
              <w:rPr>
                <w:rFonts w:hint="eastAsia" w:asciiTheme="minorEastAsia" w:hAnsiTheme="minorEastAsia"/>
                <w:bCs/>
                <w:bdr w:val="single" w:color="auto" w:sz="4" w:space="0"/>
              </w:rPr>
              <w:t>能源中心、</w:t>
            </w:r>
            <w:r>
              <w:rPr>
                <w:rFonts w:hint="eastAsia" w:asciiTheme="minorEastAsia" w:hAnsiTheme="minorEastAsia"/>
                <w:bCs/>
              </w:rPr>
              <w:t>营养厨房、洗衣房等辅助设施。</w:t>
            </w:r>
          </w:p>
        </w:tc>
        <w:tc>
          <w:tcPr>
            <w:tcW w:w="4261" w:type="dxa"/>
            <w:shd w:val="clear" w:color="auto" w:fill="auto"/>
          </w:tcPr>
          <w:p w14:paraId="0A1D417A">
            <w:r>
              <w:rPr>
                <w:rFonts w:hint="eastAsia" w:asciiTheme="minorEastAsia" w:hAnsiTheme="minorEastAsia"/>
                <w:bCs/>
              </w:rPr>
              <w:t>5.5.1 住院部应自成一区，设置单独或共用出入口，并应设在医院环境安静、交通方便处，与医技部、手术部和急诊部应有便捷的联系，同时</w:t>
            </w:r>
            <w:r>
              <w:rPr>
                <w:rFonts w:hint="eastAsia" w:asciiTheme="minorEastAsia" w:hAnsiTheme="minorEastAsia"/>
                <w:bCs/>
                <w:u w:val="single"/>
              </w:rPr>
              <w:t>与</w:t>
            </w:r>
            <w:r>
              <w:rPr>
                <w:rFonts w:hint="eastAsia" w:asciiTheme="minorEastAsia" w:hAnsiTheme="minorEastAsia"/>
                <w:bCs/>
              </w:rPr>
              <w:t>医院的营养厨房、洗衣房等辅助设施</w:t>
            </w:r>
            <w:r>
              <w:rPr>
                <w:rFonts w:hint="eastAsia" w:asciiTheme="minorEastAsia" w:hAnsiTheme="minorEastAsia"/>
                <w:bCs/>
                <w:u w:val="single"/>
              </w:rPr>
              <w:t>应有</w:t>
            </w:r>
            <w:r>
              <w:rPr>
                <w:rFonts w:asciiTheme="minorEastAsia" w:hAnsiTheme="minorEastAsia"/>
                <w:bCs/>
                <w:u w:val="single"/>
              </w:rPr>
              <w:t>便捷的物资配送通道</w:t>
            </w:r>
            <w:r>
              <w:rPr>
                <w:rFonts w:hint="eastAsia" w:asciiTheme="minorEastAsia" w:hAnsiTheme="minorEastAsia"/>
                <w:bCs/>
              </w:rPr>
              <w:t>。</w:t>
            </w:r>
          </w:p>
        </w:tc>
      </w:tr>
      <w:tr w14:paraId="41068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F4A6A56">
            <w:r>
              <w:rPr>
                <w:rFonts w:hint="eastAsia" w:asciiTheme="minorEastAsia" w:hAnsiTheme="minorEastAsia"/>
                <w:bCs/>
              </w:rPr>
              <w:t>5.5.3 每个护理单元</w:t>
            </w:r>
            <w:r>
              <w:rPr>
                <w:rFonts w:hint="eastAsia" w:asciiTheme="minorEastAsia" w:hAnsiTheme="minorEastAsia"/>
                <w:bCs/>
                <w:bdr w:val="single" w:color="auto" w:sz="4" w:space="0"/>
              </w:rPr>
              <w:t>规模应符合本规范第3.2.1条的规定，</w:t>
            </w:r>
            <w:r>
              <w:rPr>
                <w:rFonts w:hint="eastAsia" w:asciiTheme="minorEastAsia" w:hAnsiTheme="minorEastAsia"/>
                <w:bCs/>
              </w:rPr>
              <w:t>专科病房或</w:t>
            </w:r>
            <w:r>
              <w:rPr>
                <w:rFonts w:hint="eastAsia" w:asciiTheme="minorEastAsia" w:hAnsiTheme="minorEastAsia"/>
                <w:bCs/>
                <w:bdr w:val="single" w:color="auto" w:sz="4" w:space="0"/>
              </w:rPr>
              <w:t>因</w:t>
            </w:r>
            <w:r>
              <w:rPr>
                <w:rFonts w:hint="eastAsia" w:asciiTheme="minorEastAsia" w:hAnsiTheme="minorEastAsia"/>
                <w:bCs/>
              </w:rPr>
              <w:t>教学科研</w:t>
            </w:r>
            <w:r>
              <w:rPr>
                <w:rFonts w:hint="eastAsia" w:asciiTheme="minorEastAsia" w:hAnsiTheme="minorEastAsia"/>
                <w:bCs/>
                <w:bdr w:val="single" w:color="auto" w:sz="4" w:space="0"/>
              </w:rPr>
              <w:t>需要可根据具体情况确定</w:t>
            </w:r>
            <w:r>
              <w:rPr>
                <w:rFonts w:hint="eastAsia" w:asciiTheme="minorEastAsia" w:hAnsiTheme="minorEastAsia"/>
                <w:bCs/>
              </w:rPr>
              <w:t>。设</w:t>
            </w:r>
            <w:r>
              <w:rPr>
                <w:rFonts w:hint="eastAsia" w:asciiTheme="minorEastAsia" w:hAnsiTheme="minorEastAsia"/>
                <w:bCs/>
                <w:bdr w:val="single" w:color="auto" w:sz="4" w:space="0"/>
              </w:rPr>
              <w:t>传染</w:t>
            </w:r>
            <w:r>
              <w:rPr>
                <w:rFonts w:hint="eastAsia" w:asciiTheme="minorEastAsia" w:hAnsiTheme="minorEastAsia"/>
                <w:bCs/>
              </w:rPr>
              <w:t>病房时，应单独设置，并应自成一区。</w:t>
            </w:r>
          </w:p>
        </w:tc>
        <w:tc>
          <w:tcPr>
            <w:tcW w:w="4261" w:type="dxa"/>
            <w:shd w:val="clear" w:color="auto" w:fill="auto"/>
          </w:tcPr>
          <w:p w14:paraId="64DE58EE">
            <w:r>
              <w:rPr>
                <w:rFonts w:hint="eastAsia" w:asciiTheme="minorEastAsia" w:hAnsiTheme="minorEastAsia"/>
                <w:bCs/>
              </w:rPr>
              <w:t>5.5.3 每个护理单元</w:t>
            </w:r>
            <w:r>
              <w:rPr>
                <w:rFonts w:hint="eastAsia" w:asciiTheme="minorEastAsia" w:hAnsiTheme="minorEastAsia"/>
                <w:bCs/>
                <w:u w:val="single"/>
              </w:rPr>
              <w:t>应合理划分</w:t>
            </w:r>
            <w:r>
              <w:rPr>
                <w:rFonts w:asciiTheme="minorEastAsia" w:hAnsiTheme="minorEastAsia"/>
                <w:bCs/>
                <w:u w:val="single"/>
              </w:rPr>
              <w:t>患者</w:t>
            </w:r>
            <w:r>
              <w:rPr>
                <w:rFonts w:hint="eastAsia" w:asciiTheme="minorEastAsia" w:hAnsiTheme="minorEastAsia"/>
                <w:bCs/>
                <w:u w:val="single"/>
              </w:rPr>
              <w:t>住院</w:t>
            </w:r>
            <w:r>
              <w:rPr>
                <w:rFonts w:asciiTheme="minorEastAsia" w:hAnsiTheme="minorEastAsia"/>
                <w:bCs/>
                <w:u w:val="single"/>
              </w:rPr>
              <w:t>区、检查治疗</w:t>
            </w:r>
            <w:r>
              <w:rPr>
                <w:rFonts w:hint="eastAsia" w:asciiTheme="minorEastAsia" w:hAnsiTheme="minorEastAsia"/>
                <w:bCs/>
                <w:u w:val="single"/>
              </w:rPr>
              <w:t>区</w:t>
            </w:r>
            <w:r>
              <w:rPr>
                <w:rFonts w:asciiTheme="minorEastAsia" w:hAnsiTheme="minorEastAsia"/>
                <w:bCs/>
                <w:u w:val="single"/>
              </w:rPr>
              <w:t>和医护办公区，</w:t>
            </w:r>
            <w:r>
              <w:rPr>
                <w:rFonts w:hint="eastAsia" w:asciiTheme="minorEastAsia" w:hAnsiTheme="minorEastAsia"/>
                <w:bCs/>
                <w:u w:val="single"/>
              </w:rPr>
              <w:t>合理</w:t>
            </w:r>
            <w:r>
              <w:rPr>
                <w:rFonts w:asciiTheme="minorEastAsia" w:hAnsiTheme="minorEastAsia"/>
                <w:bCs/>
                <w:u w:val="single"/>
              </w:rPr>
              <w:t>规划患者、医务人员流线和餐食、物资、污物的运送路线。</w:t>
            </w:r>
            <w:r>
              <w:rPr>
                <w:rFonts w:hint="eastAsia" w:asciiTheme="minorEastAsia" w:hAnsiTheme="minorEastAsia"/>
                <w:bCs/>
              </w:rPr>
              <w:t>专科病房或</w:t>
            </w:r>
            <w:r>
              <w:rPr>
                <w:rFonts w:hint="eastAsia" w:asciiTheme="minorEastAsia" w:hAnsiTheme="minorEastAsia"/>
                <w:bCs/>
                <w:u w:val="single"/>
              </w:rPr>
              <w:t>研究型</w:t>
            </w:r>
            <w:r>
              <w:rPr>
                <w:rFonts w:asciiTheme="minorEastAsia" w:hAnsiTheme="minorEastAsia"/>
                <w:bCs/>
                <w:u w:val="single"/>
              </w:rPr>
              <w:t>病房</w:t>
            </w:r>
            <w:r>
              <w:rPr>
                <w:rFonts w:hint="eastAsia" w:asciiTheme="minorEastAsia" w:hAnsiTheme="minorEastAsia"/>
                <w:bCs/>
                <w:u w:val="single"/>
              </w:rPr>
              <w:t>可根据</w:t>
            </w:r>
            <w:r>
              <w:rPr>
                <w:rFonts w:asciiTheme="minorEastAsia" w:hAnsiTheme="minorEastAsia"/>
                <w:bCs/>
                <w:u w:val="single"/>
              </w:rPr>
              <w:t>需要设置相关</w:t>
            </w:r>
            <w:r>
              <w:rPr>
                <w:rFonts w:hint="eastAsia" w:asciiTheme="minorEastAsia" w:hAnsiTheme="minorEastAsia"/>
                <w:bCs/>
                <w:u w:val="single"/>
              </w:rPr>
              <w:t>检查</w:t>
            </w:r>
            <w:r>
              <w:rPr>
                <w:rFonts w:asciiTheme="minorEastAsia" w:hAnsiTheme="minorEastAsia"/>
                <w:bCs/>
                <w:u w:val="single"/>
              </w:rPr>
              <w:t>治疗</w:t>
            </w:r>
            <w:r>
              <w:rPr>
                <w:rFonts w:hint="eastAsia" w:asciiTheme="minorEastAsia" w:hAnsiTheme="minorEastAsia"/>
                <w:bCs/>
                <w:u w:val="single"/>
              </w:rPr>
              <w:t>用房</w:t>
            </w:r>
            <w:r>
              <w:rPr>
                <w:rFonts w:asciiTheme="minorEastAsia" w:hAnsiTheme="minorEastAsia"/>
                <w:bCs/>
                <w:u w:val="single"/>
              </w:rPr>
              <w:t>和</w:t>
            </w:r>
            <w:r>
              <w:rPr>
                <w:rFonts w:hint="eastAsia" w:asciiTheme="minorEastAsia" w:hAnsiTheme="minorEastAsia"/>
                <w:bCs/>
              </w:rPr>
              <w:t>教学科研</w:t>
            </w:r>
            <w:r>
              <w:rPr>
                <w:rFonts w:hint="eastAsia" w:asciiTheme="minorEastAsia" w:hAnsiTheme="minorEastAsia"/>
                <w:bCs/>
                <w:u w:val="single"/>
              </w:rPr>
              <w:t>用房</w:t>
            </w:r>
            <w:r>
              <w:rPr>
                <w:rFonts w:hint="eastAsia" w:asciiTheme="minorEastAsia" w:hAnsiTheme="minorEastAsia"/>
                <w:bCs/>
              </w:rPr>
              <w:t>。设</w:t>
            </w:r>
            <w:r>
              <w:rPr>
                <w:rFonts w:hint="eastAsia" w:asciiTheme="minorEastAsia" w:hAnsiTheme="minorEastAsia"/>
                <w:bCs/>
                <w:u w:val="single"/>
              </w:rPr>
              <w:t>感染疾病</w:t>
            </w:r>
            <w:r>
              <w:rPr>
                <w:rFonts w:hint="eastAsia" w:asciiTheme="minorEastAsia" w:hAnsiTheme="minorEastAsia"/>
                <w:bCs/>
              </w:rPr>
              <w:t>病房时，应单独设置，并应自成一区。</w:t>
            </w:r>
          </w:p>
        </w:tc>
      </w:tr>
      <w:tr w14:paraId="4A494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13408BD">
            <w:pPr>
              <w:widowControl/>
              <w:rPr>
                <w:rFonts w:ascii="宋体" w:hAnsi="宋体" w:eastAsia="宋体"/>
                <w:bCs/>
              </w:rPr>
            </w:pPr>
            <w:r>
              <w:rPr>
                <w:rFonts w:hint="eastAsia" w:ascii="宋体" w:hAnsi="宋体" w:eastAsia="宋体"/>
                <w:bCs/>
              </w:rPr>
              <w:t>5.5.4 护理单元用房设置应符合下列要求：</w:t>
            </w:r>
          </w:p>
          <w:p w14:paraId="74403205">
            <w:pPr>
              <w:ind w:firstLine="480" w:firstLineChars="200"/>
              <w:rPr>
                <w:rFonts w:ascii="宋体" w:hAnsi="宋体" w:eastAsia="宋体" w:cs="宋体"/>
                <w:bCs/>
              </w:rPr>
            </w:pPr>
            <w:r>
              <w:rPr>
                <w:rFonts w:hint="eastAsia" w:ascii="宋体" w:hAnsi="宋体" w:eastAsia="宋体" w:cs="宋体"/>
                <w:bCs/>
              </w:rPr>
              <w:t>1 应设病房、抢救、患者和医护人员卫生间、盥洗、浴室、护士站、医生办公、处置、治疗、更衣、值班、配餐、库房、污洗等用房；</w:t>
            </w:r>
          </w:p>
          <w:p w14:paraId="73552E61">
            <w:pPr>
              <w:ind w:firstLine="480" w:firstLineChars="200"/>
            </w:pPr>
            <w:r>
              <w:rPr>
                <w:rFonts w:hint="eastAsia" w:ascii="宋体" w:hAnsi="宋体" w:eastAsia="宋体" w:cs="宋体"/>
                <w:bCs/>
              </w:rPr>
              <w:t>2 可设患者就餐、活动、换药、患者家属谈话、探视、示教等用房。</w:t>
            </w:r>
          </w:p>
        </w:tc>
        <w:tc>
          <w:tcPr>
            <w:tcW w:w="4261" w:type="dxa"/>
            <w:shd w:val="clear" w:color="auto" w:fill="auto"/>
          </w:tcPr>
          <w:p w14:paraId="0D339C21">
            <w:pPr>
              <w:widowControl/>
              <w:rPr>
                <w:rFonts w:ascii="宋体" w:hAnsi="宋体" w:eastAsia="宋体"/>
                <w:bCs/>
              </w:rPr>
            </w:pPr>
            <w:r>
              <w:rPr>
                <w:rFonts w:hint="eastAsia" w:ascii="宋体" w:hAnsi="宋体" w:eastAsia="宋体"/>
                <w:bCs/>
              </w:rPr>
              <w:t>5.5.4 护理单元用房设置应符合下列要求：</w:t>
            </w:r>
          </w:p>
          <w:p w14:paraId="6568EBC7">
            <w:pPr>
              <w:ind w:firstLine="480" w:firstLineChars="200"/>
              <w:rPr>
                <w:rFonts w:ascii="宋体" w:hAnsi="宋体" w:eastAsia="宋体" w:cs="宋体"/>
                <w:bCs/>
              </w:rPr>
            </w:pPr>
            <w:r>
              <w:rPr>
                <w:rFonts w:hint="eastAsia" w:ascii="宋体" w:hAnsi="宋体" w:eastAsia="宋体" w:cs="宋体"/>
                <w:bCs/>
              </w:rPr>
              <w:t>1 应设病房、抢救、患者和医护人员卫生间、盥洗、浴室、护士站、医生办公、处置、治疗、更衣、值班、配餐、库房、污洗</w:t>
            </w:r>
            <w:r>
              <w:rPr>
                <w:rFonts w:hint="eastAsia" w:ascii="宋体" w:hAnsi="宋体" w:eastAsia="宋体" w:cs="宋体"/>
                <w:bCs/>
                <w:u w:val="single"/>
              </w:rPr>
              <w:t>、</w:t>
            </w:r>
            <w:r>
              <w:rPr>
                <w:rFonts w:ascii="宋体" w:hAnsi="宋体" w:eastAsia="宋体" w:cs="宋体"/>
                <w:bCs/>
                <w:u w:val="single"/>
              </w:rPr>
              <w:t>污物暂存</w:t>
            </w:r>
            <w:r>
              <w:rPr>
                <w:rFonts w:hint="eastAsia" w:ascii="宋体" w:hAnsi="宋体" w:eastAsia="宋体" w:cs="宋体"/>
                <w:bCs/>
                <w:u w:val="single"/>
              </w:rPr>
              <w:t>、</w:t>
            </w:r>
            <w:r>
              <w:rPr>
                <w:rFonts w:ascii="宋体" w:hAnsi="宋体" w:eastAsia="宋体" w:cs="宋体"/>
                <w:bCs/>
                <w:u w:val="single"/>
              </w:rPr>
              <w:t>衣物</w:t>
            </w:r>
            <w:r>
              <w:rPr>
                <w:rFonts w:hint="eastAsia" w:ascii="宋体" w:hAnsi="宋体" w:eastAsia="宋体" w:cs="宋体"/>
                <w:bCs/>
                <w:u w:val="single"/>
              </w:rPr>
              <w:t>洗涤晾晒</w:t>
            </w:r>
            <w:r>
              <w:rPr>
                <w:rFonts w:ascii="宋体" w:hAnsi="宋体" w:eastAsia="宋体" w:cs="宋体"/>
                <w:bCs/>
                <w:u w:val="single"/>
              </w:rPr>
              <w:t>区</w:t>
            </w:r>
            <w:r>
              <w:rPr>
                <w:rFonts w:hint="eastAsia" w:ascii="宋体" w:hAnsi="宋体" w:eastAsia="宋体" w:cs="宋体"/>
                <w:bCs/>
              </w:rPr>
              <w:t>等用房；</w:t>
            </w:r>
          </w:p>
          <w:p w14:paraId="25E12B5D">
            <w:pPr>
              <w:ind w:firstLine="480" w:firstLineChars="200"/>
            </w:pPr>
            <w:r>
              <w:rPr>
                <w:rFonts w:hint="eastAsia" w:ascii="宋体" w:hAnsi="宋体" w:eastAsia="宋体" w:cs="宋体"/>
                <w:bCs/>
              </w:rPr>
              <w:t>2 可设患者就餐、活动、换药、患者家属谈话、探视、示教</w:t>
            </w:r>
            <w:r>
              <w:rPr>
                <w:rFonts w:hint="eastAsia" w:ascii="宋体" w:hAnsi="宋体" w:eastAsia="宋体" w:cs="宋体"/>
                <w:bCs/>
                <w:u w:val="single"/>
              </w:rPr>
              <w:t>、工勤</w:t>
            </w:r>
            <w:r>
              <w:rPr>
                <w:rFonts w:hint="eastAsia" w:ascii="宋体" w:hAnsi="宋体" w:eastAsia="宋体" w:cs="宋体"/>
                <w:bCs/>
              </w:rPr>
              <w:t>等用房。</w:t>
            </w:r>
          </w:p>
        </w:tc>
      </w:tr>
      <w:tr w14:paraId="193C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FE93AFB">
            <w:pPr>
              <w:widowControl/>
              <w:rPr>
                <w:rFonts w:ascii="宋体" w:hAnsi="宋体" w:eastAsia="宋体"/>
                <w:bCs/>
              </w:rPr>
            </w:pPr>
            <w:r>
              <w:rPr>
                <w:rFonts w:hint="eastAsia" w:ascii="宋体" w:hAnsi="宋体" w:eastAsia="宋体"/>
                <w:bCs/>
              </w:rPr>
              <w:t>5.5.5 病房设置应符合下列要求：</w:t>
            </w:r>
          </w:p>
          <w:p w14:paraId="51887A90">
            <w:pPr>
              <w:ind w:firstLine="480" w:firstLineChars="200"/>
              <w:rPr>
                <w:rFonts w:ascii="宋体" w:hAnsi="宋体" w:eastAsia="宋体" w:cs="宋体"/>
                <w:bCs/>
              </w:rPr>
            </w:pPr>
            <w:r>
              <w:rPr>
                <w:rFonts w:hint="eastAsia" w:ascii="宋体" w:hAnsi="宋体" w:eastAsia="宋体" w:cs="宋体"/>
                <w:bCs/>
              </w:rPr>
              <w:t>1 病床的排列应平行于采光窗墙面。单排不宜超过3床，双排不宜超过6床；</w:t>
            </w:r>
          </w:p>
          <w:p w14:paraId="7BD2B5CF">
            <w:pPr>
              <w:ind w:firstLine="480" w:firstLineChars="200"/>
              <w:rPr>
                <w:rFonts w:ascii="宋体" w:hAnsi="宋体" w:eastAsia="宋体" w:cs="宋体"/>
                <w:bCs/>
              </w:rPr>
            </w:pPr>
            <w:r>
              <w:rPr>
                <w:rFonts w:hint="eastAsia" w:ascii="宋体" w:hAnsi="宋体" w:eastAsia="宋体" w:cs="宋体"/>
                <w:bCs/>
              </w:rPr>
              <w:t>2 平行的两床净距不应小于</w:t>
            </w:r>
            <w:r>
              <w:rPr>
                <w:rFonts w:ascii="宋体" w:hAnsi="宋体" w:eastAsia="宋体" w:cs="宋体"/>
                <w:bCs/>
              </w:rPr>
              <w:t>0.80m</w:t>
            </w:r>
            <w:r>
              <w:rPr>
                <w:rFonts w:hint="eastAsia" w:ascii="宋体" w:hAnsi="宋体" w:eastAsia="宋体" w:cs="宋体"/>
                <w:bCs/>
              </w:rPr>
              <w:t>，靠墙病床床沿与墙面的净距不应小于0.60m；</w:t>
            </w:r>
          </w:p>
          <w:p w14:paraId="5D95BBAF">
            <w:pPr>
              <w:ind w:firstLine="480" w:firstLineChars="200"/>
              <w:rPr>
                <w:rFonts w:ascii="宋体" w:hAnsi="宋体" w:eastAsia="宋体" w:cs="宋体"/>
                <w:bCs/>
              </w:rPr>
            </w:pPr>
            <w:r>
              <w:rPr>
                <w:rFonts w:hint="eastAsia" w:ascii="宋体" w:hAnsi="宋体" w:eastAsia="宋体" w:cs="宋体"/>
                <w:bCs/>
              </w:rPr>
              <w:t>3 单排病床通道净宽不应小于</w:t>
            </w:r>
            <w:r>
              <w:rPr>
                <w:rFonts w:ascii="宋体" w:hAnsi="宋体" w:eastAsia="宋体" w:cs="宋体"/>
                <w:bCs/>
              </w:rPr>
              <w:t>1.10m，</w:t>
            </w:r>
            <w:r>
              <w:rPr>
                <w:rFonts w:hint="eastAsia" w:ascii="宋体" w:hAnsi="宋体" w:eastAsia="宋体" w:cs="宋体"/>
                <w:bCs/>
              </w:rPr>
              <w:t>双排病床（床端）通道净宽不应小于1.40m；</w:t>
            </w:r>
          </w:p>
          <w:p w14:paraId="544E2195">
            <w:pPr>
              <w:ind w:firstLine="480" w:firstLineChars="200"/>
              <w:rPr>
                <w:rFonts w:ascii="宋体" w:hAnsi="宋体" w:eastAsia="宋体" w:cs="宋体"/>
                <w:bCs/>
              </w:rPr>
            </w:pPr>
            <w:r>
              <w:rPr>
                <w:rFonts w:hint="eastAsia" w:ascii="宋体" w:hAnsi="宋体" w:eastAsia="宋体" w:cs="宋体"/>
                <w:bCs/>
              </w:rPr>
              <w:t>4 病房</w:t>
            </w:r>
            <w:r>
              <w:rPr>
                <w:rFonts w:hint="eastAsia" w:ascii="宋体" w:hAnsi="宋体" w:eastAsia="宋体" w:cs="宋体"/>
                <w:bCs/>
                <w:bdr w:val="single" w:color="auto" w:sz="4" w:space="0"/>
              </w:rPr>
              <w:t>门</w:t>
            </w:r>
            <w:r>
              <w:rPr>
                <w:rFonts w:hint="eastAsia" w:ascii="宋体" w:hAnsi="宋体" w:eastAsia="宋体" w:cs="宋体"/>
                <w:bCs/>
              </w:rPr>
              <w:t>应</w:t>
            </w:r>
            <w:r>
              <w:rPr>
                <w:rFonts w:hint="eastAsia" w:ascii="宋体" w:hAnsi="宋体" w:eastAsia="宋体" w:cs="宋体"/>
                <w:bCs/>
                <w:bdr w:val="single" w:color="auto" w:sz="4" w:space="0"/>
              </w:rPr>
              <w:t>直接开向</w:t>
            </w:r>
            <w:r>
              <w:rPr>
                <w:rFonts w:hint="eastAsia" w:ascii="宋体" w:hAnsi="宋体" w:eastAsia="宋体" w:cs="宋体"/>
                <w:bCs/>
              </w:rPr>
              <w:t>走道；</w:t>
            </w:r>
          </w:p>
          <w:p w14:paraId="546B3861">
            <w:pPr>
              <w:ind w:firstLine="480" w:firstLineChars="200"/>
              <w:rPr>
                <w:rFonts w:ascii="宋体" w:hAnsi="宋体" w:eastAsia="宋体" w:cs="宋体"/>
                <w:bCs/>
              </w:rPr>
            </w:pPr>
            <w:r>
              <w:rPr>
                <w:rFonts w:hint="eastAsia" w:ascii="宋体" w:hAnsi="宋体" w:eastAsia="宋体" w:cs="宋体"/>
                <w:bCs/>
              </w:rPr>
              <w:t>5 抢救室宜靠近护士站；</w:t>
            </w:r>
          </w:p>
          <w:p w14:paraId="305EC69E">
            <w:pPr>
              <w:ind w:firstLine="480" w:firstLineChars="200"/>
              <w:rPr>
                <w:rFonts w:ascii="宋体" w:hAnsi="宋体" w:eastAsia="宋体" w:cs="宋体"/>
                <w:bCs/>
              </w:rPr>
            </w:pPr>
            <w:r>
              <w:rPr>
                <w:rFonts w:hint="eastAsia" w:ascii="宋体" w:hAnsi="宋体" w:eastAsia="宋体" w:cs="宋体"/>
                <w:bCs/>
              </w:rPr>
              <w:t>6 病房门净宽不应小于1.10m，门扇</w:t>
            </w:r>
            <w:r>
              <w:rPr>
                <w:rFonts w:hint="eastAsia" w:ascii="宋体" w:hAnsi="宋体" w:eastAsia="宋体" w:cs="宋体"/>
                <w:bCs/>
                <w:bdr w:val="single" w:color="auto" w:sz="4" w:space="0"/>
              </w:rPr>
              <w:t>宜</w:t>
            </w:r>
            <w:r>
              <w:rPr>
                <w:rFonts w:hint="eastAsia" w:ascii="宋体" w:hAnsi="宋体" w:eastAsia="宋体" w:cs="宋体"/>
                <w:bCs/>
              </w:rPr>
              <w:t>设观察窗；</w:t>
            </w:r>
          </w:p>
          <w:p w14:paraId="15C53A24">
            <w:pPr>
              <w:ind w:firstLine="480" w:firstLineChars="200"/>
            </w:pPr>
            <w:r>
              <w:rPr>
                <w:rFonts w:hint="eastAsia" w:ascii="宋体" w:hAnsi="宋体" w:eastAsia="宋体" w:cs="宋体"/>
                <w:bCs/>
              </w:rPr>
              <w:t>7 病房走道</w:t>
            </w:r>
            <w:r>
              <w:rPr>
                <w:rFonts w:hint="eastAsia" w:ascii="宋体" w:hAnsi="宋体" w:eastAsia="宋体" w:cs="宋体"/>
                <w:bCs/>
                <w:bdr w:val="single" w:color="auto" w:sz="4" w:space="0"/>
              </w:rPr>
              <w:t>两侧</w:t>
            </w:r>
            <w:r>
              <w:rPr>
                <w:rFonts w:hint="eastAsia" w:ascii="宋体" w:hAnsi="宋体" w:eastAsia="宋体" w:cs="宋体"/>
                <w:bCs/>
              </w:rPr>
              <w:t>墙面应设置靠墙扶手及防撞设施。</w:t>
            </w:r>
          </w:p>
        </w:tc>
        <w:tc>
          <w:tcPr>
            <w:tcW w:w="4261" w:type="dxa"/>
            <w:shd w:val="clear" w:color="auto" w:fill="auto"/>
          </w:tcPr>
          <w:p w14:paraId="71BDD143">
            <w:pPr>
              <w:widowControl/>
              <w:rPr>
                <w:rFonts w:ascii="宋体" w:hAnsi="宋体" w:eastAsia="宋体"/>
                <w:bCs/>
              </w:rPr>
            </w:pPr>
            <w:r>
              <w:rPr>
                <w:rFonts w:hint="eastAsia" w:ascii="宋体" w:hAnsi="宋体" w:eastAsia="宋体"/>
                <w:bCs/>
              </w:rPr>
              <w:t>5.5.5 病房设置应符合下列要求：</w:t>
            </w:r>
          </w:p>
          <w:p w14:paraId="1A11F97E">
            <w:pPr>
              <w:ind w:firstLine="480" w:firstLineChars="200"/>
              <w:rPr>
                <w:rFonts w:ascii="宋体" w:hAnsi="宋体" w:eastAsia="宋体" w:cs="宋体"/>
                <w:bCs/>
              </w:rPr>
            </w:pPr>
            <w:r>
              <w:rPr>
                <w:rFonts w:hint="eastAsia" w:ascii="宋体" w:hAnsi="宋体" w:eastAsia="宋体" w:cs="宋体"/>
                <w:bCs/>
              </w:rPr>
              <w:t>1 病床的排列应平行于采光窗墙面。单排不宜超过3床，双排不宜超过6床；</w:t>
            </w:r>
          </w:p>
          <w:p w14:paraId="3E9D1DE1">
            <w:pPr>
              <w:ind w:firstLine="480" w:firstLineChars="200"/>
              <w:rPr>
                <w:rFonts w:ascii="宋体" w:hAnsi="宋体" w:eastAsia="宋体" w:cs="宋体"/>
                <w:bCs/>
              </w:rPr>
            </w:pPr>
            <w:r>
              <w:rPr>
                <w:rFonts w:hint="eastAsia" w:ascii="宋体" w:hAnsi="宋体" w:eastAsia="宋体" w:cs="宋体"/>
                <w:bCs/>
              </w:rPr>
              <w:t>2 平行的两床净距不应小于</w:t>
            </w:r>
            <w:r>
              <w:rPr>
                <w:rFonts w:ascii="宋体" w:hAnsi="宋体" w:eastAsia="宋体" w:cs="宋体"/>
                <w:bCs/>
              </w:rPr>
              <w:t>0.80m</w:t>
            </w:r>
            <w:r>
              <w:rPr>
                <w:rFonts w:hint="eastAsia" w:ascii="宋体" w:hAnsi="宋体" w:eastAsia="宋体" w:cs="宋体"/>
                <w:bCs/>
              </w:rPr>
              <w:t>，靠墙病床床沿与墙面的净距不应小于0.60m；</w:t>
            </w:r>
          </w:p>
          <w:p w14:paraId="2C90290A">
            <w:pPr>
              <w:ind w:firstLine="480" w:firstLineChars="200"/>
              <w:rPr>
                <w:rFonts w:ascii="宋体" w:hAnsi="宋体" w:eastAsia="宋体" w:cs="宋体"/>
                <w:bCs/>
              </w:rPr>
            </w:pPr>
            <w:r>
              <w:rPr>
                <w:rFonts w:hint="eastAsia" w:ascii="宋体" w:hAnsi="宋体" w:eastAsia="宋体" w:cs="宋体"/>
                <w:bCs/>
              </w:rPr>
              <w:t>3 单排病床通道净宽不应小于</w:t>
            </w:r>
            <w:r>
              <w:rPr>
                <w:rFonts w:ascii="宋体" w:hAnsi="宋体" w:eastAsia="宋体" w:cs="宋体"/>
                <w:bCs/>
              </w:rPr>
              <w:t>1.10m，</w:t>
            </w:r>
            <w:r>
              <w:rPr>
                <w:rFonts w:hint="eastAsia" w:ascii="宋体" w:hAnsi="宋体" w:eastAsia="宋体" w:cs="宋体"/>
                <w:bCs/>
              </w:rPr>
              <w:t>双排病床（床端）通道净宽不应小于1.40m；</w:t>
            </w:r>
          </w:p>
          <w:p w14:paraId="3183387B">
            <w:pPr>
              <w:ind w:firstLine="480" w:firstLineChars="200"/>
              <w:rPr>
                <w:rFonts w:ascii="宋体" w:hAnsi="宋体" w:eastAsia="宋体" w:cs="宋体"/>
                <w:bCs/>
              </w:rPr>
            </w:pPr>
            <w:r>
              <w:rPr>
                <w:rFonts w:hint="eastAsia" w:ascii="宋体" w:hAnsi="宋体" w:eastAsia="宋体" w:cs="宋体"/>
                <w:bCs/>
              </w:rPr>
              <w:t>4 病房应</w:t>
            </w:r>
            <w:r>
              <w:rPr>
                <w:rFonts w:hint="eastAsia" w:ascii="宋体" w:hAnsi="宋体" w:eastAsia="宋体" w:cs="宋体"/>
                <w:bCs/>
                <w:u w:val="single"/>
              </w:rPr>
              <w:t>设置与</w:t>
            </w:r>
            <w:r>
              <w:rPr>
                <w:rFonts w:hint="eastAsia" w:ascii="宋体" w:hAnsi="宋体" w:eastAsia="宋体" w:cs="宋体"/>
                <w:bCs/>
              </w:rPr>
              <w:t>走道</w:t>
            </w:r>
            <w:r>
              <w:rPr>
                <w:rFonts w:hint="eastAsia" w:ascii="宋体" w:hAnsi="宋体" w:eastAsia="宋体" w:cs="宋体"/>
                <w:bCs/>
                <w:u w:val="single"/>
              </w:rPr>
              <w:t>直接连通的门</w:t>
            </w:r>
            <w:r>
              <w:rPr>
                <w:rFonts w:hint="eastAsia" w:ascii="宋体" w:hAnsi="宋体" w:eastAsia="宋体" w:cs="宋体"/>
                <w:bCs/>
              </w:rPr>
              <w:t>；</w:t>
            </w:r>
          </w:p>
          <w:p w14:paraId="121A83FA">
            <w:pPr>
              <w:ind w:firstLine="480" w:firstLineChars="200"/>
              <w:rPr>
                <w:rFonts w:ascii="宋体" w:hAnsi="宋体" w:eastAsia="宋体" w:cs="宋体"/>
                <w:bCs/>
              </w:rPr>
            </w:pPr>
            <w:r>
              <w:rPr>
                <w:rFonts w:hint="eastAsia" w:ascii="宋体" w:hAnsi="宋体" w:eastAsia="宋体" w:cs="宋体"/>
                <w:bCs/>
              </w:rPr>
              <w:t>5 抢救室宜靠近护士站；</w:t>
            </w:r>
          </w:p>
          <w:p w14:paraId="2506BE96">
            <w:pPr>
              <w:ind w:firstLine="480" w:firstLineChars="200"/>
              <w:rPr>
                <w:rFonts w:ascii="宋体" w:hAnsi="宋体" w:eastAsia="宋体" w:cs="宋体"/>
                <w:bCs/>
              </w:rPr>
            </w:pPr>
            <w:r>
              <w:rPr>
                <w:rFonts w:hint="eastAsia" w:ascii="宋体" w:hAnsi="宋体" w:eastAsia="宋体" w:cs="宋体"/>
                <w:bCs/>
              </w:rPr>
              <w:t>6 病房门净宽不应小于1.10m，门扇</w:t>
            </w:r>
            <w:r>
              <w:rPr>
                <w:rFonts w:hint="eastAsia" w:ascii="宋体" w:hAnsi="宋体" w:eastAsia="宋体" w:cs="宋体"/>
                <w:bCs/>
                <w:u w:val="single"/>
              </w:rPr>
              <w:t>可</w:t>
            </w:r>
            <w:r>
              <w:rPr>
                <w:rFonts w:hint="eastAsia" w:ascii="宋体" w:hAnsi="宋体" w:eastAsia="宋体" w:cs="宋体"/>
                <w:bCs/>
              </w:rPr>
              <w:t>设观察窗；</w:t>
            </w:r>
          </w:p>
          <w:p w14:paraId="4A5425D5">
            <w:pPr>
              <w:ind w:firstLine="480" w:firstLineChars="200"/>
            </w:pPr>
            <w:r>
              <w:rPr>
                <w:rFonts w:hint="eastAsia" w:ascii="宋体" w:hAnsi="宋体" w:eastAsia="宋体" w:cs="宋体"/>
                <w:bCs/>
              </w:rPr>
              <w:t>7 病房走道墙面应设置靠墙扶手及防撞设施。</w:t>
            </w:r>
          </w:p>
        </w:tc>
      </w:tr>
      <w:tr w14:paraId="25A6C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5B8C6A5">
            <w:r>
              <w:rPr>
                <w:rFonts w:hint="eastAsia" w:asciiTheme="minorEastAsia" w:hAnsiTheme="minorEastAsia"/>
                <w:bCs/>
              </w:rPr>
              <w:t>5.5.6 护士站宜以开敞空间与护理单元走道连通，并应与治疗室以门相连，护士站宜通视护理单元走廊</w:t>
            </w:r>
            <w:r>
              <w:rPr>
                <w:rFonts w:hint="eastAsia" w:asciiTheme="minorEastAsia" w:hAnsiTheme="minorEastAsia"/>
                <w:bCs/>
                <w:bdr w:val="single" w:color="auto" w:sz="4" w:space="0"/>
              </w:rPr>
              <w:t>，到最远病房门口的距离不宜超过</w:t>
            </w:r>
            <w:r>
              <w:rPr>
                <w:rFonts w:asciiTheme="minorEastAsia" w:hAnsiTheme="minorEastAsia"/>
                <w:bCs/>
                <w:bdr w:val="single" w:color="auto" w:sz="4" w:space="0"/>
              </w:rPr>
              <w:t>30m</w:t>
            </w:r>
            <w:r>
              <w:rPr>
                <w:rFonts w:asciiTheme="minorEastAsia" w:hAnsiTheme="minorEastAsia"/>
                <w:bCs/>
              </w:rPr>
              <w:t>。</w:t>
            </w:r>
          </w:p>
        </w:tc>
        <w:tc>
          <w:tcPr>
            <w:tcW w:w="4261" w:type="dxa"/>
            <w:shd w:val="clear" w:color="auto" w:fill="auto"/>
          </w:tcPr>
          <w:p w14:paraId="1CA94AC9">
            <w:r>
              <w:rPr>
                <w:rFonts w:hint="eastAsia" w:asciiTheme="minorEastAsia" w:hAnsiTheme="minorEastAsia"/>
                <w:bCs/>
              </w:rPr>
              <w:t>5.5.6 护士站宜以开敞空间与护理单元走道连通，并应与治疗室以门相连，护士站宜通视护理单元走廊</w:t>
            </w:r>
            <w:r>
              <w:rPr>
                <w:rFonts w:asciiTheme="minorEastAsia" w:hAnsiTheme="minorEastAsia"/>
                <w:bCs/>
              </w:rPr>
              <w:t>。</w:t>
            </w:r>
          </w:p>
        </w:tc>
      </w:tr>
      <w:tr w14:paraId="019C1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62F2556">
            <w:pPr>
              <w:widowControl/>
              <w:rPr>
                <w:rFonts w:ascii="宋体" w:hAnsi="宋体" w:eastAsia="宋体"/>
                <w:bCs/>
              </w:rPr>
            </w:pPr>
            <w:r>
              <w:rPr>
                <w:rFonts w:hint="eastAsia" w:ascii="宋体" w:hAnsi="宋体" w:eastAsia="宋体"/>
                <w:bCs/>
              </w:rPr>
              <w:t>5.5.11 监护用房设置应符合下列要求：</w:t>
            </w:r>
          </w:p>
          <w:p w14:paraId="79B828D5">
            <w:pPr>
              <w:ind w:firstLine="480" w:firstLineChars="200"/>
              <w:rPr>
                <w:rFonts w:ascii="宋体" w:hAnsi="宋体" w:eastAsia="宋体" w:cs="宋体"/>
                <w:bCs/>
              </w:rPr>
            </w:pPr>
            <w:r>
              <w:rPr>
                <w:rFonts w:hint="eastAsia" w:ascii="宋体" w:hAnsi="宋体" w:eastAsia="宋体" w:cs="宋体"/>
                <w:bCs/>
              </w:rPr>
              <w:t>1 重症监护病房（ICU）宜与手术部、急诊部邻近，并应有快捷联系；</w:t>
            </w:r>
          </w:p>
          <w:p w14:paraId="2903765B">
            <w:pPr>
              <w:ind w:firstLine="480" w:firstLineChars="200"/>
              <w:rPr>
                <w:rFonts w:ascii="宋体" w:hAnsi="宋体" w:eastAsia="宋体" w:cs="宋体"/>
                <w:bCs/>
              </w:rPr>
            </w:pPr>
            <w:r>
              <w:rPr>
                <w:rFonts w:hint="eastAsia" w:ascii="宋体" w:hAnsi="宋体" w:eastAsia="宋体" w:cs="宋体"/>
                <w:bCs/>
              </w:rPr>
              <w:t>2 心血管监护病房（CCU）宜与急诊部、介入治疗科室邻近，并应有快捷联系；</w:t>
            </w:r>
          </w:p>
          <w:p w14:paraId="04E04805">
            <w:pPr>
              <w:ind w:firstLine="480" w:firstLineChars="200"/>
              <w:rPr>
                <w:rFonts w:ascii="宋体" w:hAnsi="宋体" w:eastAsia="宋体" w:cs="宋体"/>
                <w:bCs/>
              </w:rPr>
            </w:pPr>
            <w:r>
              <w:rPr>
                <w:rFonts w:hint="eastAsia" w:ascii="宋体" w:hAnsi="宋体" w:eastAsia="宋体" w:cs="宋体"/>
                <w:bCs/>
              </w:rPr>
              <w:t>3 应设监护病房、治疗、处置、仪器、护士站、污洗等用房；</w:t>
            </w:r>
          </w:p>
          <w:p w14:paraId="2B379BD1">
            <w:pPr>
              <w:ind w:firstLine="480" w:firstLineChars="200"/>
              <w:rPr>
                <w:rFonts w:ascii="宋体" w:hAnsi="宋体" w:eastAsia="宋体" w:cs="宋体"/>
                <w:bCs/>
              </w:rPr>
            </w:pPr>
            <w:r>
              <w:rPr>
                <w:rFonts w:hint="eastAsia" w:ascii="宋体" w:hAnsi="宋体" w:eastAsia="宋体" w:cs="宋体"/>
                <w:bCs/>
              </w:rPr>
              <w:t>4 护士站的位置宜便于直视观察患者；</w:t>
            </w:r>
          </w:p>
          <w:p w14:paraId="0F617D04">
            <w:pPr>
              <w:ind w:firstLine="480" w:firstLineChars="200"/>
              <w:rPr>
                <w:rFonts w:ascii="宋体" w:hAnsi="宋体" w:eastAsia="宋体" w:cs="宋体"/>
                <w:bCs/>
              </w:rPr>
            </w:pPr>
            <w:r>
              <w:rPr>
                <w:rFonts w:hint="eastAsia" w:ascii="宋体" w:hAnsi="宋体" w:eastAsia="宋体" w:cs="宋体"/>
                <w:bCs/>
              </w:rPr>
              <w:t>5 监护病床的床间净距不应小于</w:t>
            </w:r>
            <w:r>
              <w:rPr>
                <w:rFonts w:ascii="宋体" w:hAnsi="宋体" w:eastAsia="宋体" w:cs="宋体"/>
                <w:bCs/>
                <w:bdr w:val="single" w:color="auto" w:sz="4" w:space="0"/>
              </w:rPr>
              <w:t>1</w:t>
            </w:r>
            <w:r>
              <w:rPr>
                <w:rFonts w:hint="eastAsia" w:ascii="宋体" w:hAnsi="宋体" w:eastAsia="宋体" w:cs="宋体"/>
                <w:bCs/>
                <w:bdr w:val="single" w:color="auto" w:sz="4" w:space="0"/>
              </w:rPr>
              <w:t>.</w:t>
            </w:r>
            <w:r>
              <w:rPr>
                <w:rFonts w:ascii="宋体" w:hAnsi="宋体" w:eastAsia="宋体" w:cs="宋体"/>
                <w:bCs/>
                <w:bdr w:val="single" w:color="auto" w:sz="4" w:space="0"/>
              </w:rPr>
              <w:t>20</w:t>
            </w:r>
            <w:r>
              <w:rPr>
                <w:rFonts w:ascii="宋体" w:hAnsi="宋体" w:eastAsia="宋体" w:cs="宋体"/>
                <w:bCs/>
              </w:rPr>
              <w:t>m；</w:t>
            </w:r>
          </w:p>
          <w:p w14:paraId="36690508">
            <w:pPr>
              <w:ind w:firstLine="480" w:firstLineChars="200"/>
            </w:pPr>
            <w:r>
              <w:rPr>
                <w:rFonts w:hint="eastAsia" w:ascii="宋体" w:hAnsi="宋体" w:eastAsia="宋体" w:cs="宋体"/>
                <w:bCs/>
              </w:rPr>
              <w:t>6 单床间不应小于</w:t>
            </w:r>
            <w:r>
              <w:rPr>
                <w:rFonts w:ascii="宋体" w:hAnsi="宋体" w:eastAsia="宋体" w:cs="宋体"/>
                <w:bCs/>
                <w:bdr w:val="single" w:color="auto" w:sz="4" w:space="0"/>
              </w:rPr>
              <w:t>12.00</w:t>
            </w:r>
            <w:r>
              <w:rPr>
                <w:rFonts w:ascii="宋体" w:hAnsi="宋体" w:eastAsia="宋体" w:cs="宋体"/>
                <w:bCs/>
              </w:rPr>
              <w:t>m²</w:t>
            </w:r>
            <w:r>
              <w:rPr>
                <w:rFonts w:hint="eastAsia" w:ascii="宋体" w:hAnsi="宋体" w:eastAsia="宋体" w:cs="宋体"/>
                <w:bCs/>
              </w:rPr>
              <w:t>。</w:t>
            </w:r>
          </w:p>
        </w:tc>
        <w:tc>
          <w:tcPr>
            <w:tcW w:w="4261" w:type="dxa"/>
            <w:shd w:val="clear" w:color="auto" w:fill="auto"/>
          </w:tcPr>
          <w:p w14:paraId="41416993">
            <w:pPr>
              <w:widowControl/>
              <w:rPr>
                <w:rFonts w:ascii="宋体" w:hAnsi="宋体" w:eastAsia="宋体"/>
                <w:bCs/>
              </w:rPr>
            </w:pPr>
            <w:r>
              <w:rPr>
                <w:rFonts w:hint="eastAsia" w:ascii="宋体" w:hAnsi="宋体" w:eastAsia="宋体"/>
                <w:bCs/>
              </w:rPr>
              <w:t>5.5.11 监护用房设置应符合下列要求：</w:t>
            </w:r>
          </w:p>
          <w:p w14:paraId="057BF9A8">
            <w:pPr>
              <w:ind w:firstLine="480" w:firstLineChars="200"/>
              <w:rPr>
                <w:rFonts w:ascii="宋体" w:hAnsi="宋体" w:eastAsia="宋体" w:cs="宋体"/>
                <w:bCs/>
              </w:rPr>
            </w:pPr>
            <w:r>
              <w:rPr>
                <w:rFonts w:hint="eastAsia" w:ascii="宋体" w:hAnsi="宋体" w:eastAsia="宋体" w:cs="宋体"/>
                <w:bCs/>
              </w:rPr>
              <w:t>1 重症监护病房（ICU）宜与手术部、急诊部邻近，并应有快捷联系；</w:t>
            </w:r>
          </w:p>
          <w:p w14:paraId="00255FED">
            <w:pPr>
              <w:ind w:firstLine="480" w:firstLineChars="200"/>
              <w:rPr>
                <w:rFonts w:ascii="宋体" w:hAnsi="宋体" w:eastAsia="宋体" w:cs="宋体"/>
                <w:bCs/>
              </w:rPr>
            </w:pPr>
            <w:r>
              <w:rPr>
                <w:rFonts w:hint="eastAsia" w:ascii="宋体" w:hAnsi="宋体" w:eastAsia="宋体" w:cs="宋体"/>
                <w:bCs/>
              </w:rPr>
              <w:t>2 心血管监护病房（CCU）宜与急诊部、介入治疗科室邻近，并应有快捷联系；</w:t>
            </w:r>
          </w:p>
          <w:p w14:paraId="34DDBBEC">
            <w:pPr>
              <w:ind w:firstLine="480" w:firstLineChars="200"/>
              <w:rPr>
                <w:rFonts w:ascii="宋体" w:hAnsi="宋体" w:eastAsia="宋体" w:cs="宋体"/>
                <w:bCs/>
              </w:rPr>
            </w:pPr>
            <w:r>
              <w:rPr>
                <w:rFonts w:hint="eastAsia" w:ascii="宋体" w:hAnsi="宋体" w:eastAsia="宋体" w:cs="宋体"/>
                <w:bCs/>
              </w:rPr>
              <w:t>3 应设监护病房、治疗、处置、仪器、护士站、污洗等用房</w:t>
            </w:r>
            <w:r>
              <w:rPr>
                <w:rFonts w:hint="eastAsia" w:ascii="宋体" w:hAnsi="宋体" w:eastAsia="宋体" w:cs="宋体"/>
                <w:bCs/>
                <w:u w:val="single"/>
              </w:rPr>
              <w:t>，</w:t>
            </w:r>
            <w:r>
              <w:rPr>
                <w:rFonts w:ascii="宋体" w:hAnsi="宋体" w:eastAsia="宋体" w:cs="宋体"/>
                <w:bCs/>
                <w:u w:val="single"/>
              </w:rPr>
              <w:t>可</w:t>
            </w:r>
            <w:r>
              <w:rPr>
                <w:rFonts w:hint="eastAsia" w:ascii="宋体" w:hAnsi="宋体" w:eastAsia="宋体" w:cs="宋体"/>
                <w:bCs/>
                <w:u w:val="single"/>
              </w:rPr>
              <w:t>根据</w:t>
            </w:r>
            <w:r>
              <w:rPr>
                <w:rFonts w:ascii="宋体" w:hAnsi="宋体" w:eastAsia="宋体" w:cs="宋体"/>
                <w:bCs/>
                <w:u w:val="single"/>
              </w:rPr>
              <w:t>需要</w:t>
            </w:r>
            <w:r>
              <w:rPr>
                <w:rFonts w:hint="eastAsia" w:ascii="宋体" w:hAnsi="宋体" w:eastAsia="宋体" w:cs="宋体"/>
                <w:bCs/>
                <w:u w:val="single"/>
              </w:rPr>
              <w:t>设置</w:t>
            </w:r>
            <w:r>
              <w:rPr>
                <w:rFonts w:ascii="宋体" w:hAnsi="宋体" w:eastAsia="宋体" w:cs="宋体"/>
                <w:bCs/>
                <w:u w:val="single"/>
              </w:rPr>
              <w:t>家属</w:t>
            </w:r>
            <w:r>
              <w:rPr>
                <w:rFonts w:hint="eastAsia" w:ascii="宋体" w:hAnsi="宋体" w:eastAsia="宋体" w:cs="宋体"/>
                <w:bCs/>
                <w:u w:val="single"/>
              </w:rPr>
              <w:t>视频</w:t>
            </w:r>
            <w:r>
              <w:rPr>
                <w:rFonts w:ascii="宋体" w:hAnsi="宋体" w:eastAsia="宋体" w:cs="宋体"/>
                <w:bCs/>
                <w:u w:val="single"/>
              </w:rPr>
              <w:t>探视用房</w:t>
            </w:r>
            <w:r>
              <w:rPr>
                <w:rFonts w:hint="eastAsia" w:ascii="宋体" w:hAnsi="宋体" w:eastAsia="宋体" w:cs="宋体"/>
                <w:bCs/>
                <w:u w:val="single"/>
              </w:rPr>
              <w:t>或</w:t>
            </w:r>
            <w:r>
              <w:rPr>
                <w:rFonts w:ascii="宋体" w:hAnsi="宋体" w:eastAsia="宋体" w:cs="宋体"/>
                <w:bCs/>
                <w:u w:val="single"/>
              </w:rPr>
              <w:t>探视走廊</w:t>
            </w:r>
            <w:r>
              <w:rPr>
                <w:rFonts w:hint="eastAsia" w:ascii="宋体" w:hAnsi="宋体" w:eastAsia="宋体" w:cs="宋体"/>
                <w:bCs/>
              </w:rPr>
              <w:t>；</w:t>
            </w:r>
          </w:p>
          <w:p w14:paraId="397F28C0">
            <w:pPr>
              <w:ind w:firstLine="480" w:firstLineChars="200"/>
              <w:rPr>
                <w:rFonts w:ascii="宋体" w:hAnsi="宋体" w:eastAsia="宋体" w:cs="宋体"/>
                <w:bCs/>
              </w:rPr>
            </w:pPr>
            <w:r>
              <w:rPr>
                <w:rFonts w:hint="eastAsia" w:ascii="宋体" w:hAnsi="宋体" w:eastAsia="宋体" w:cs="宋体"/>
                <w:bCs/>
              </w:rPr>
              <w:t>4 护士站的位置宜便于直视观察患者</w:t>
            </w:r>
            <w:r>
              <w:rPr>
                <w:rFonts w:hint="eastAsia" w:ascii="宋体" w:hAnsi="宋体" w:eastAsia="宋体" w:cs="宋体"/>
                <w:bCs/>
                <w:u w:val="single"/>
              </w:rPr>
              <w:t>或设置相应监控设施</w:t>
            </w:r>
            <w:r>
              <w:rPr>
                <w:rFonts w:hint="eastAsia" w:ascii="宋体" w:hAnsi="宋体" w:eastAsia="宋体" w:cs="宋体"/>
                <w:bCs/>
              </w:rPr>
              <w:t>；</w:t>
            </w:r>
          </w:p>
          <w:p w14:paraId="56FC7E57">
            <w:pPr>
              <w:ind w:firstLine="480" w:firstLineChars="200"/>
              <w:rPr>
                <w:rFonts w:ascii="宋体" w:hAnsi="宋体" w:eastAsia="宋体" w:cs="宋体"/>
                <w:bCs/>
              </w:rPr>
            </w:pPr>
            <w:r>
              <w:rPr>
                <w:rFonts w:hint="eastAsia" w:ascii="宋体" w:hAnsi="宋体" w:eastAsia="宋体" w:cs="宋体"/>
                <w:bCs/>
              </w:rPr>
              <w:t>5 监护病床的床间净距不应小于</w:t>
            </w:r>
            <w:r>
              <w:rPr>
                <w:rFonts w:hint="eastAsia" w:ascii="宋体" w:hAnsi="宋体" w:eastAsia="宋体" w:cs="宋体"/>
                <w:bCs/>
                <w:u w:val="single"/>
              </w:rPr>
              <w:t>1.50</w:t>
            </w:r>
            <w:r>
              <w:rPr>
                <w:rFonts w:ascii="宋体" w:hAnsi="宋体" w:eastAsia="宋体" w:cs="宋体"/>
                <w:bCs/>
              </w:rPr>
              <w:t>m；</w:t>
            </w:r>
          </w:p>
          <w:p w14:paraId="75F2E084">
            <w:pPr>
              <w:ind w:firstLine="480" w:firstLineChars="200"/>
            </w:pPr>
            <w:r>
              <w:rPr>
                <w:rFonts w:hint="eastAsia" w:ascii="宋体" w:hAnsi="宋体" w:eastAsia="宋体" w:cs="宋体"/>
                <w:bCs/>
              </w:rPr>
              <w:t>6 单床间不应小于</w:t>
            </w:r>
            <w:r>
              <w:rPr>
                <w:rFonts w:ascii="宋体" w:hAnsi="宋体" w:eastAsia="宋体" w:cs="宋体"/>
                <w:bCs/>
                <w:u w:val="single"/>
              </w:rPr>
              <w:t>18.00</w:t>
            </w:r>
            <w:r>
              <w:rPr>
                <w:rFonts w:ascii="宋体" w:hAnsi="宋体" w:eastAsia="宋体" w:cs="宋体"/>
                <w:bCs/>
              </w:rPr>
              <w:t>m²</w:t>
            </w:r>
            <w:r>
              <w:rPr>
                <w:rFonts w:hint="eastAsia" w:ascii="宋体" w:hAnsi="宋体" w:eastAsia="宋体" w:cs="宋体"/>
                <w:bCs/>
              </w:rPr>
              <w:t>。</w:t>
            </w:r>
          </w:p>
        </w:tc>
      </w:tr>
      <w:tr w14:paraId="3B649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C0A78A2">
            <w:pPr>
              <w:widowControl/>
              <w:rPr>
                <w:rFonts w:ascii="宋体" w:hAnsi="宋体" w:eastAsia="宋体"/>
                <w:bCs/>
              </w:rPr>
            </w:pPr>
            <w:r>
              <w:rPr>
                <w:rFonts w:hint="eastAsia" w:ascii="宋体" w:hAnsi="宋体" w:eastAsia="宋体"/>
                <w:bCs/>
              </w:rPr>
              <w:t>5.5.13</w:t>
            </w:r>
            <w:r>
              <w:rPr>
                <w:rFonts w:ascii="宋体" w:hAnsi="宋体" w:eastAsia="宋体"/>
                <w:bCs/>
              </w:rPr>
              <w:t xml:space="preserve"> </w:t>
            </w:r>
            <w:r>
              <w:rPr>
                <w:rFonts w:hint="eastAsia" w:ascii="宋体" w:hAnsi="宋体" w:eastAsia="宋体"/>
                <w:bCs/>
              </w:rPr>
              <w:t>妇产科病房用房设置应符合下列要求：</w:t>
            </w:r>
          </w:p>
          <w:p w14:paraId="58C2A176">
            <w:pPr>
              <w:ind w:firstLine="480" w:firstLineChars="200"/>
              <w:rPr>
                <w:rFonts w:ascii="宋体" w:hAnsi="宋体" w:eastAsia="宋体" w:cs="宋体"/>
                <w:bCs/>
              </w:rPr>
            </w:pPr>
            <w:r>
              <w:rPr>
                <w:rFonts w:hint="eastAsia" w:ascii="宋体" w:hAnsi="宋体" w:eastAsia="宋体" w:cs="宋体"/>
                <w:bCs/>
              </w:rPr>
              <w:t>1 妇科应设检查和治疗用房。</w:t>
            </w:r>
          </w:p>
          <w:p w14:paraId="3DB91810">
            <w:pPr>
              <w:ind w:firstLine="480" w:firstLineChars="200"/>
              <w:rPr>
                <w:rFonts w:ascii="宋体" w:hAnsi="宋体" w:eastAsia="宋体" w:cs="宋体"/>
                <w:bCs/>
              </w:rPr>
            </w:pPr>
            <w:r>
              <w:rPr>
                <w:rFonts w:hint="eastAsia" w:ascii="宋体" w:hAnsi="宋体" w:eastAsia="宋体" w:cs="宋体"/>
                <w:bCs/>
              </w:rPr>
              <w:t>2 产科应设产前检查、待产、分娩、隔离待产、隔离分娩、产期监护、产休室等用房。隔离待产和隔离分娩用房可兼用。</w:t>
            </w:r>
          </w:p>
          <w:p w14:paraId="00DD02BF">
            <w:pPr>
              <w:ind w:firstLine="480" w:firstLineChars="200"/>
              <w:rPr>
                <w:rFonts w:ascii="宋体" w:hAnsi="宋体" w:eastAsia="宋体" w:cs="宋体"/>
                <w:bCs/>
              </w:rPr>
            </w:pPr>
            <w:r>
              <w:rPr>
                <w:rFonts w:hint="eastAsia" w:ascii="宋体" w:hAnsi="宋体" w:eastAsia="宋体" w:cs="宋体"/>
                <w:bCs/>
              </w:rPr>
              <w:t>3 妇科、产科两科合为1个单元时，妇科的病房、治疗室、浴室、卫生间与产科的产休室、产前检查室、浴室、卫生间应分别设置。</w:t>
            </w:r>
          </w:p>
          <w:p w14:paraId="39BF0033">
            <w:pPr>
              <w:ind w:firstLine="480" w:firstLineChars="200"/>
              <w:rPr>
                <w:rFonts w:ascii="宋体" w:hAnsi="宋体" w:eastAsia="宋体" w:cs="宋体"/>
                <w:bCs/>
              </w:rPr>
            </w:pPr>
            <w:r>
              <w:rPr>
                <w:rFonts w:hint="eastAsia" w:ascii="宋体" w:hAnsi="宋体" w:eastAsia="宋体" w:cs="宋体"/>
                <w:bCs/>
              </w:rPr>
              <w:t>4 产科宜设手术室。</w:t>
            </w:r>
          </w:p>
          <w:p w14:paraId="6F7781D0">
            <w:pPr>
              <w:ind w:firstLine="480" w:firstLineChars="200"/>
              <w:rPr>
                <w:rFonts w:ascii="宋体" w:hAnsi="宋体" w:eastAsia="宋体" w:cs="宋体"/>
                <w:bCs/>
              </w:rPr>
            </w:pPr>
            <w:r>
              <w:rPr>
                <w:rFonts w:hint="eastAsia" w:ascii="宋体" w:hAnsi="宋体" w:eastAsia="宋体" w:cs="宋体"/>
                <w:bCs/>
              </w:rPr>
              <w:t>5 产房应自成一区，入口处应设卫生通过和浴室、卫生间。</w:t>
            </w:r>
          </w:p>
          <w:p w14:paraId="56BBF356">
            <w:pPr>
              <w:ind w:firstLine="480" w:firstLineChars="200"/>
              <w:rPr>
                <w:rFonts w:ascii="宋体" w:hAnsi="宋体" w:eastAsia="宋体" w:cs="宋体"/>
                <w:bCs/>
              </w:rPr>
            </w:pPr>
            <w:r>
              <w:rPr>
                <w:rFonts w:hint="eastAsia" w:ascii="宋体" w:hAnsi="宋体" w:eastAsia="宋体" w:cs="宋体"/>
                <w:bCs/>
              </w:rPr>
              <w:t>6 待产室应邻近分娩室，宜设专用卫生间。</w:t>
            </w:r>
          </w:p>
          <w:p w14:paraId="0372FDF1">
            <w:pPr>
              <w:ind w:firstLine="480" w:firstLineChars="200"/>
              <w:rPr>
                <w:rFonts w:ascii="宋体" w:hAnsi="宋体" w:eastAsia="宋体" w:cs="宋体"/>
                <w:bCs/>
              </w:rPr>
            </w:pPr>
            <w:r>
              <w:rPr>
                <w:rFonts w:hint="eastAsia" w:ascii="宋体" w:hAnsi="宋体" w:eastAsia="宋体" w:cs="宋体"/>
                <w:bCs/>
              </w:rPr>
              <w:t>7 分娩室平面净尺寸宜</w:t>
            </w:r>
            <w:r>
              <w:rPr>
                <w:rFonts w:hint="eastAsia" w:ascii="宋体" w:hAnsi="宋体" w:eastAsia="宋体" w:cs="宋体"/>
                <w:bCs/>
                <w:bdr w:val="single" w:color="auto" w:sz="4" w:space="0"/>
              </w:rPr>
              <w:t>为</w:t>
            </w:r>
            <w:r>
              <w:rPr>
                <w:rFonts w:hint="eastAsia" w:ascii="宋体" w:hAnsi="宋体" w:eastAsia="宋体" w:cs="宋体"/>
                <w:bCs/>
              </w:rPr>
              <w:t>4.20m×4.80m，剖腹产手术室宜</w:t>
            </w:r>
            <w:r>
              <w:rPr>
                <w:rFonts w:hint="eastAsia" w:ascii="宋体" w:hAnsi="宋体" w:eastAsia="宋体" w:cs="宋体"/>
                <w:bCs/>
                <w:bdr w:val="single" w:color="auto" w:sz="4" w:space="0"/>
              </w:rPr>
              <w:t>为</w:t>
            </w:r>
            <w:r>
              <w:rPr>
                <w:rFonts w:hint="eastAsia" w:ascii="宋体" w:hAnsi="宋体" w:eastAsia="宋体" w:cs="宋体"/>
                <w:bCs/>
              </w:rPr>
              <w:t>5.40m×4.80m。</w:t>
            </w:r>
          </w:p>
          <w:p w14:paraId="6D84B5E7">
            <w:pPr>
              <w:ind w:firstLine="480" w:firstLineChars="200"/>
              <w:rPr>
                <w:rFonts w:ascii="宋体" w:hAnsi="宋体" w:eastAsia="宋体" w:cs="宋体"/>
                <w:bCs/>
              </w:rPr>
            </w:pPr>
            <w:r>
              <w:rPr>
                <w:rFonts w:hint="eastAsia" w:ascii="宋体" w:hAnsi="宋体" w:eastAsia="宋体" w:cs="宋体"/>
                <w:bCs/>
              </w:rPr>
              <w:t>8 洗手池的位置应使医护人员在洗手时能观察临产产妇的动态。</w:t>
            </w:r>
          </w:p>
          <w:p w14:paraId="17435755">
            <w:pPr>
              <w:ind w:firstLine="480" w:firstLineChars="200"/>
              <w:rPr>
                <w:rFonts w:ascii="宋体" w:hAnsi="宋体" w:eastAsia="宋体" w:cs="宋体"/>
                <w:bCs/>
              </w:rPr>
            </w:pPr>
            <w:r>
              <w:rPr>
                <w:rFonts w:hint="eastAsia" w:ascii="宋体" w:hAnsi="宋体" w:eastAsia="宋体" w:cs="宋体"/>
                <w:bCs/>
              </w:rPr>
              <w:t>9 母婴同室或家庭产房应增设家属卫生通过，并应与其他区域分隔。</w:t>
            </w:r>
          </w:p>
          <w:p w14:paraId="71F77C4A">
            <w:pPr>
              <w:ind w:firstLine="480" w:firstLineChars="200"/>
            </w:pPr>
            <w:r>
              <w:rPr>
                <w:rFonts w:ascii="宋体" w:hAnsi="宋体" w:eastAsia="宋体" w:cs="宋体"/>
                <w:bCs/>
              </w:rPr>
              <w:t xml:space="preserve">10 </w:t>
            </w:r>
            <w:r>
              <w:rPr>
                <w:rFonts w:hint="eastAsia" w:ascii="宋体" w:hAnsi="宋体" w:eastAsia="宋体" w:cs="宋体"/>
                <w:bCs/>
              </w:rPr>
              <w:t>家庭产房的病床宜采用可转换为产床的病床。</w:t>
            </w:r>
          </w:p>
        </w:tc>
        <w:tc>
          <w:tcPr>
            <w:tcW w:w="4261" w:type="dxa"/>
            <w:shd w:val="clear" w:color="auto" w:fill="auto"/>
          </w:tcPr>
          <w:p w14:paraId="00BA4B2A">
            <w:pPr>
              <w:widowControl/>
              <w:rPr>
                <w:rFonts w:ascii="宋体" w:hAnsi="宋体" w:eastAsia="宋体"/>
                <w:bCs/>
              </w:rPr>
            </w:pPr>
            <w:r>
              <w:rPr>
                <w:rFonts w:hint="eastAsia" w:ascii="宋体" w:hAnsi="宋体" w:eastAsia="宋体"/>
                <w:bCs/>
              </w:rPr>
              <w:t>5.5.13</w:t>
            </w:r>
            <w:r>
              <w:rPr>
                <w:rFonts w:ascii="宋体" w:hAnsi="宋体" w:eastAsia="宋体"/>
                <w:bCs/>
              </w:rPr>
              <w:t xml:space="preserve"> </w:t>
            </w:r>
            <w:r>
              <w:rPr>
                <w:rFonts w:hint="eastAsia" w:ascii="宋体" w:hAnsi="宋体" w:eastAsia="宋体"/>
                <w:bCs/>
              </w:rPr>
              <w:t>妇产科病房用房设置应符合下列要求：</w:t>
            </w:r>
          </w:p>
          <w:p w14:paraId="05E24408">
            <w:pPr>
              <w:ind w:firstLine="480" w:firstLineChars="200"/>
              <w:rPr>
                <w:rFonts w:ascii="宋体" w:hAnsi="宋体" w:eastAsia="宋体" w:cs="宋体"/>
                <w:bCs/>
              </w:rPr>
            </w:pPr>
            <w:r>
              <w:rPr>
                <w:rFonts w:hint="eastAsia" w:ascii="宋体" w:hAnsi="宋体" w:eastAsia="宋体" w:cs="宋体"/>
                <w:bCs/>
              </w:rPr>
              <w:t>1 妇科应设检查和治疗用房。</w:t>
            </w:r>
          </w:p>
          <w:p w14:paraId="54589C1B">
            <w:pPr>
              <w:ind w:firstLine="480" w:firstLineChars="200"/>
              <w:rPr>
                <w:rFonts w:ascii="宋体" w:hAnsi="宋体" w:eastAsia="宋体" w:cs="宋体"/>
                <w:bCs/>
              </w:rPr>
            </w:pPr>
            <w:r>
              <w:rPr>
                <w:rFonts w:hint="eastAsia" w:ascii="宋体" w:hAnsi="宋体" w:eastAsia="宋体" w:cs="宋体"/>
                <w:bCs/>
              </w:rPr>
              <w:t>2 产科应设产前检查、待产、分娩、隔离待产、隔离分娩、产期监护、产休室等用房。隔离待产和隔离分娩用房可兼用。</w:t>
            </w:r>
          </w:p>
          <w:p w14:paraId="66699BCB">
            <w:pPr>
              <w:ind w:firstLine="480" w:firstLineChars="200"/>
              <w:rPr>
                <w:rFonts w:ascii="宋体" w:hAnsi="宋体" w:eastAsia="宋体" w:cs="宋体"/>
                <w:bCs/>
              </w:rPr>
            </w:pPr>
            <w:r>
              <w:rPr>
                <w:rFonts w:hint="eastAsia" w:ascii="宋体" w:hAnsi="宋体" w:eastAsia="宋体" w:cs="宋体"/>
                <w:bCs/>
              </w:rPr>
              <w:t>3 妇科、产科两科合为1个单元时，妇科的病房、治疗室、浴室、卫生间与产科的产休室、产前检查室、浴室、卫生间应分别设置。</w:t>
            </w:r>
          </w:p>
          <w:p w14:paraId="7C8AAF7B">
            <w:pPr>
              <w:ind w:firstLine="480" w:firstLineChars="200"/>
              <w:rPr>
                <w:rFonts w:ascii="宋体" w:hAnsi="宋体" w:eastAsia="宋体" w:cs="宋体"/>
                <w:bCs/>
              </w:rPr>
            </w:pPr>
            <w:r>
              <w:rPr>
                <w:rFonts w:hint="eastAsia" w:ascii="宋体" w:hAnsi="宋体" w:eastAsia="宋体" w:cs="宋体"/>
                <w:bCs/>
              </w:rPr>
              <w:t>4 产科宜设手术室。</w:t>
            </w:r>
          </w:p>
          <w:p w14:paraId="6F7B01BC">
            <w:pPr>
              <w:ind w:firstLine="480" w:firstLineChars="200"/>
              <w:rPr>
                <w:rFonts w:ascii="宋体" w:hAnsi="宋体" w:eastAsia="宋体" w:cs="宋体"/>
                <w:bCs/>
              </w:rPr>
            </w:pPr>
            <w:r>
              <w:rPr>
                <w:rFonts w:hint="eastAsia" w:ascii="宋体" w:hAnsi="宋体" w:eastAsia="宋体" w:cs="宋体"/>
                <w:bCs/>
              </w:rPr>
              <w:t>5 产房应自成一区，入口处应设卫生通过和浴室、卫生间。</w:t>
            </w:r>
          </w:p>
          <w:p w14:paraId="5CFE7378">
            <w:pPr>
              <w:ind w:firstLine="480" w:firstLineChars="200"/>
              <w:rPr>
                <w:rFonts w:ascii="宋体" w:hAnsi="宋体" w:eastAsia="宋体" w:cs="宋体"/>
                <w:bCs/>
              </w:rPr>
            </w:pPr>
            <w:r>
              <w:rPr>
                <w:rFonts w:hint="eastAsia" w:ascii="宋体" w:hAnsi="宋体" w:eastAsia="宋体" w:cs="宋体"/>
                <w:bCs/>
              </w:rPr>
              <w:t>6 待产室应邻近分娩室，宜设专用卫生间。</w:t>
            </w:r>
          </w:p>
          <w:p w14:paraId="28A0AB45">
            <w:pPr>
              <w:ind w:firstLine="480" w:firstLineChars="200"/>
              <w:rPr>
                <w:rFonts w:ascii="宋体" w:hAnsi="宋体" w:eastAsia="宋体" w:cs="宋体"/>
                <w:bCs/>
              </w:rPr>
            </w:pPr>
            <w:r>
              <w:rPr>
                <w:rFonts w:hint="eastAsia" w:ascii="宋体" w:hAnsi="宋体" w:eastAsia="宋体" w:cs="宋体"/>
                <w:bCs/>
              </w:rPr>
              <w:t>7 分娩室平面净尺寸</w:t>
            </w:r>
            <w:r>
              <w:rPr>
                <w:rFonts w:hint="eastAsia" w:ascii="宋体" w:hAnsi="宋体" w:eastAsia="宋体" w:cs="宋体"/>
                <w:bCs/>
                <w:u w:val="single"/>
              </w:rPr>
              <w:t>不</w:t>
            </w:r>
            <w:r>
              <w:rPr>
                <w:rFonts w:hint="eastAsia" w:ascii="宋体" w:hAnsi="宋体" w:eastAsia="宋体" w:cs="宋体"/>
                <w:bCs/>
              </w:rPr>
              <w:t>宜</w:t>
            </w:r>
            <w:r>
              <w:rPr>
                <w:rFonts w:hint="eastAsia" w:ascii="宋体" w:hAnsi="宋体" w:eastAsia="宋体" w:cs="宋体"/>
                <w:bCs/>
                <w:u w:val="single"/>
              </w:rPr>
              <w:t>小于</w:t>
            </w:r>
            <w:r>
              <w:rPr>
                <w:rFonts w:hint="eastAsia" w:ascii="宋体" w:hAnsi="宋体" w:eastAsia="宋体" w:cs="宋体"/>
                <w:bCs/>
              </w:rPr>
              <w:t>4.20m×4.80m，剖腹产手术室</w:t>
            </w:r>
            <w:r>
              <w:rPr>
                <w:rFonts w:hint="eastAsia" w:ascii="宋体" w:hAnsi="宋体" w:eastAsia="宋体" w:cs="宋体"/>
                <w:bCs/>
                <w:u w:val="single"/>
              </w:rPr>
              <w:t>不</w:t>
            </w:r>
            <w:r>
              <w:rPr>
                <w:rFonts w:hint="eastAsia" w:ascii="宋体" w:hAnsi="宋体" w:eastAsia="宋体" w:cs="宋体"/>
                <w:bCs/>
              </w:rPr>
              <w:t>宜</w:t>
            </w:r>
            <w:r>
              <w:rPr>
                <w:rFonts w:hint="eastAsia" w:ascii="宋体" w:hAnsi="宋体" w:eastAsia="宋体" w:cs="宋体"/>
                <w:bCs/>
                <w:u w:val="single"/>
              </w:rPr>
              <w:t>小于</w:t>
            </w:r>
            <w:r>
              <w:rPr>
                <w:rFonts w:hint="eastAsia" w:ascii="宋体" w:hAnsi="宋体" w:eastAsia="宋体" w:cs="宋体"/>
                <w:bCs/>
              </w:rPr>
              <w:t>5.40m×4.80m。</w:t>
            </w:r>
          </w:p>
          <w:p w14:paraId="36D74664">
            <w:pPr>
              <w:ind w:firstLine="480" w:firstLineChars="200"/>
              <w:rPr>
                <w:rFonts w:ascii="宋体" w:hAnsi="宋体" w:eastAsia="宋体" w:cs="宋体"/>
                <w:bCs/>
              </w:rPr>
            </w:pPr>
            <w:r>
              <w:rPr>
                <w:rFonts w:hint="eastAsia" w:ascii="宋体" w:hAnsi="宋体" w:eastAsia="宋体" w:cs="宋体"/>
                <w:bCs/>
              </w:rPr>
              <w:t>8 洗手池的位置应使医护人员在洗手时能观察临产产妇的动态。</w:t>
            </w:r>
          </w:p>
          <w:p w14:paraId="6E7DCAFB">
            <w:pPr>
              <w:ind w:firstLine="480" w:firstLineChars="200"/>
              <w:rPr>
                <w:rFonts w:ascii="宋体" w:hAnsi="宋体" w:eastAsia="宋体" w:cs="宋体"/>
                <w:bCs/>
              </w:rPr>
            </w:pPr>
            <w:r>
              <w:rPr>
                <w:rFonts w:hint="eastAsia" w:ascii="宋体" w:hAnsi="宋体" w:eastAsia="宋体" w:cs="宋体"/>
                <w:bCs/>
              </w:rPr>
              <w:t>9 母婴同室或家庭产房应增设家属卫生通过，并应与其他区域分隔。</w:t>
            </w:r>
          </w:p>
          <w:p w14:paraId="3E681E71">
            <w:pPr>
              <w:ind w:firstLine="480" w:firstLineChars="200"/>
            </w:pPr>
            <w:r>
              <w:rPr>
                <w:rFonts w:ascii="宋体" w:hAnsi="宋体" w:eastAsia="宋体" w:cs="宋体"/>
                <w:bCs/>
              </w:rPr>
              <w:t xml:space="preserve">10 </w:t>
            </w:r>
            <w:r>
              <w:rPr>
                <w:rFonts w:hint="eastAsia" w:ascii="宋体" w:hAnsi="宋体" w:eastAsia="宋体" w:cs="宋体"/>
                <w:bCs/>
              </w:rPr>
              <w:t>家庭产房的病床宜采用可转换为产床的病床。</w:t>
            </w:r>
          </w:p>
        </w:tc>
      </w:tr>
      <w:tr w14:paraId="20B4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02AD6B9">
            <w:pPr>
              <w:widowControl/>
              <w:rPr>
                <w:rFonts w:ascii="宋体" w:hAnsi="宋体" w:eastAsia="宋体"/>
                <w:bCs/>
              </w:rPr>
            </w:pPr>
            <w:r>
              <w:rPr>
                <w:rFonts w:hint="eastAsia" w:ascii="宋体" w:hAnsi="宋体" w:eastAsia="宋体"/>
                <w:bCs/>
              </w:rPr>
              <w:t>5.5.16 血液病房用房设置应符合下列要求：</w:t>
            </w:r>
          </w:p>
          <w:p w14:paraId="267C492E">
            <w:pPr>
              <w:ind w:firstLine="480" w:firstLineChars="200"/>
              <w:rPr>
                <w:rFonts w:ascii="宋体" w:hAnsi="宋体" w:eastAsia="宋体" w:cs="宋体"/>
                <w:bCs/>
              </w:rPr>
            </w:pPr>
            <w:r>
              <w:rPr>
                <w:rFonts w:hint="eastAsia" w:ascii="宋体" w:hAnsi="宋体" w:eastAsia="宋体" w:cs="宋体"/>
                <w:bCs/>
              </w:rPr>
              <w:t>1 血液病房可设于内科护理单元内，亦可自成一区。可根据需要设置洁净病房，洁净病房应自成一区。</w:t>
            </w:r>
          </w:p>
          <w:p w14:paraId="0910389D">
            <w:pPr>
              <w:ind w:firstLine="480" w:firstLineChars="200"/>
              <w:rPr>
                <w:rFonts w:ascii="宋体" w:hAnsi="宋体" w:eastAsia="宋体" w:cs="宋体"/>
                <w:bCs/>
              </w:rPr>
            </w:pPr>
            <w:r>
              <w:rPr>
                <w:rFonts w:hint="eastAsia" w:ascii="宋体" w:hAnsi="宋体" w:eastAsia="宋体" w:cs="宋体"/>
                <w:bCs/>
              </w:rPr>
              <w:t>2 洁净病区应设准备、患者浴室和卫生间、护士室、洗涤消毒用房、净化设备机房。</w:t>
            </w:r>
          </w:p>
          <w:p w14:paraId="4E589CC7">
            <w:pPr>
              <w:ind w:firstLine="480" w:firstLineChars="200"/>
              <w:rPr>
                <w:rFonts w:ascii="宋体" w:hAnsi="宋体" w:eastAsia="宋体" w:cs="宋体"/>
                <w:bCs/>
              </w:rPr>
            </w:pPr>
            <w:r>
              <w:rPr>
                <w:rFonts w:hint="eastAsia" w:ascii="宋体" w:hAnsi="宋体" w:eastAsia="宋体" w:cs="宋体"/>
                <w:bCs/>
              </w:rPr>
              <w:t>3 入口处应设包括换鞋、更衣、卫生间和淋浴的医护人员卫生通道。</w:t>
            </w:r>
          </w:p>
          <w:p w14:paraId="38834B8B">
            <w:pPr>
              <w:ind w:firstLine="480" w:firstLineChars="200"/>
              <w:rPr>
                <w:rFonts w:ascii="宋体" w:hAnsi="宋体" w:eastAsia="宋体" w:cs="宋体"/>
                <w:bCs/>
              </w:rPr>
            </w:pPr>
            <w:r>
              <w:rPr>
                <w:rFonts w:hint="eastAsia" w:ascii="宋体" w:hAnsi="宋体" w:eastAsia="宋体" w:cs="宋体"/>
                <w:bCs/>
              </w:rPr>
              <w:t>4 患者浴室和卫生间</w:t>
            </w:r>
            <w:r>
              <w:rPr>
                <w:rFonts w:hint="eastAsia" w:ascii="宋体" w:hAnsi="宋体" w:eastAsia="宋体" w:cs="宋体"/>
                <w:bCs/>
                <w:bdr w:val="single" w:color="auto" w:sz="4" w:space="0"/>
              </w:rPr>
              <w:t>可</w:t>
            </w:r>
            <w:r>
              <w:rPr>
                <w:rFonts w:hint="eastAsia" w:ascii="宋体" w:hAnsi="宋体" w:eastAsia="宋体" w:cs="宋体"/>
                <w:bCs/>
              </w:rPr>
              <w:t>单独设置，并应同时设有淋浴器和浴盆。</w:t>
            </w:r>
          </w:p>
          <w:p w14:paraId="1FF5F7C1">
            <w:pPr>
              <w:ind w:firstLine="480" w:firstLineChars="200"/>
              <w:rPr>
                <w:rFonts w:ascii="宋体" w:hAnsi="宋体" w:eastAsia="宋体" w:cs="宋体"/>
                <w:bCs/>
              </w:rPr>
            </w:pPr>
            <w:r>
              <w:rPr>
                <w:rFonts w:hint="eastAsia" w:ascii="宋体" w:hAnsi="宋体" w:eastAsia="宋体" w:cs="宋体"/>
                <w:bCs/>
              </w:rPr>
              <w:t>5 洁净病房应</w:t>
            </w:r>
            <w:r>
              <w:rPr>
                <w:rFonts w:hint="eastAsia" w:ascii="宋体" w:hAnsi="宋体" w:eastAsia="宋体" w:cs="宋体"/>
                <w:bCs/>
                <w:bdr w:val="single" w:color="auto" w:sz="4" w:space="0"/>
              </w:rPr>
              <w:t>仅供一位患者使用</w:t>
            </w:r>
            <w:r>
              <w:rPr>
                <w:rFonts w:hint="eastAsia" w:ascii="宋体" w:hAnsi="宋体" w:eastAsia="宋体" w:cs="宋体"/>
                <w:bCs/>
              </w:rPr>
              <w:t>，</w:t>
            </w:r>
            <w:r>
              <w:rPr>
                <w:rFonts w:hint="eastAsia" w:ascii="宋体" w:hAnsi="宋体" w:eastAsia="宋体" w:cs="宋体"/>
                <w:bCs/>
                <w:bdr w:val="single" w:color="auto" w:sz="4" w:space="0"/>
              </w:rPr>
              <w:t>洁净标准应符合本规范第7.5.4条规定，</w:t>
            </w:r>
            <w:r>
              <w:rPr>
                <w:rFonts w:hint="eastAsia" w:ascii="宋体" w:hAnsi="宋体" w:eastAsia="宋体" w:cs="宋体"/>
                <w:bCs/>
              </w:rPr>
              <w:t>并应在入口处设第二次换鞋、更衣处。</w:t>
            </w:r>
          </w:p>
          <w:p w14:paraId="7D9266F4">
            <w:pPr>
              <w:ind w:firstLine="480" w:firstLineChars="200"/>
            </w:pPr>
            <w:r>
              <w:rPr>
                <w:rFonts w:hint="eastAsia" w:ascii="宋体" w:hAnsi="宋体" w:eastAsia="宋体" w:cs="宋体"/>
                <w:bCs/>
              </w:rPr>
              <w:t>6 洁净病房</w:t>
            </w:r>
            <w:r>
              <w:rPr>
                <w:rFonts w:hint="eastAsia" w:ascii="宋体" w:hAnsi="宋体" w:eastAsia="宋体" w:cs="宋体"/>
                <w:bCs/>
                <w:bdr w:val="single" w:color="auto" w:sz="4" w:space="0"/>
              </w:rPr>
              <w:t>应</w:t>
            </w:r>
            <w:r>
              <w:rPr>
                <w:rFonts w:hint="eastAsia" w:ascii="宋体" w:hAnsi="宋体" w:eastAsia="宋体" w:cs="宋体"/>
                <w:bCs/>
              </w:rPr>
              <w:t>设观察窗，并</w:t>
            </w:r>
            <w:r>
              <w:rPr>
                <w:rFonts w:hint="eastAsia" w:ascii="宋体" w:hAnsi="宋体" w:eastAsia="宋体" w:cs="宋体"/>
                <w:bCs/>
                <w:bdr w:val="single" w:color="auto" w:sz="4" w:space="0"/>
              </w:rPr>
              <w:t>应</w:t>
            </w:r>
            <w:r>
              <w:rPr>
                <w:rFonts w:hint="eastAsia" w:ascii="宋体" w:hAnsi="宋体" w:eastAsia="宋体" w:cs="宋体"/>
                <w:bCs/>
              </w:rPr>
              <w:t>设置家属探视窗</w:t>
            </w:r>
            <w:r>
              <w:rPr>
                <w:rFonts w:hint="eastAsia" w:ascii="宋体" w:hAnsi="宋体" w:eastAsia="宋体" w:cs="宋体"/>
                <w:bCs/>
                <w:bdr w:val="single" w:color="auto" w:sz="4" w:space="0"/>
              </w:rPr>
              <w:t>及对讲</w:t>
            </w:r>
            <w:r>
              <w:rPr>
                <w:rFonts w:hint="eastAsia" w:ascii="宋体" w:hAnsi="宋体" w:eastAsia="宋体" w:cs="宋体"/>
                <w:bCs/>
              </w:rPr>
              <w:t>设备。</w:t>
            </w:r>
          </w:p>
        </w:tc>
        <w:tc>
          <w:tcPr>
            <w:tcW w:w="4261" w:type="dxa"/>
            <w:shd w:val="clear" w:color="auto" w:fill="auto"/>
          </w:tcPr>
          <w:p w14:paraId="5164D7D2">
            <w:pPr>
              <w:widowControl/>
              <w:rPr>
                <w:rFonts w:ascii="宋体" w:hAnsi="宋体" w:eastAsia="宋体"/>
                <w:bCs/>
              </w:rPr>
            </w:pPr>
            <w:r>
              <w:rPr>
                <w:rFonts w:hint="eastAsia" w:ascii="宋体" w:hAnsi="宋体" w:eastAsia="宋体"/>
                <w:bCs/>
              </w:rPr>
              <w:t>5.5.16 血液病房用房设置应符合下列要求：</w:t>
            </w:r>
          </w:p>
          <w:p w14:paraId="24B86B55">
            <w:pPr>
              <w:ind w:firstLine="480" w:firstLineChars="200"/>
              <w:rPr>
                <w:rFonts w:ascii="宋体" w:hAnsi="宋体" w:eastAsia="宋体" w:cs="宋体"/>
                <w:bCs/>
              </w:rPr>
            </w:pPr>
            <w:r>
              <w:rPr>
                <w:rFonts w:hint="eastAsia" w:ascii="宋体" w:hAnsi="宋体" w:eastAsia="宋体" w:cs="宋体"/>
                <w:bCs/>
              </w:rPr>
              <w:t>1 血液病房可设于内科护理单元内，亦可自成一区。可根据需要设置洁净病房，洁净病房应自成一区。</w:t>
            </w:r>
          </w:p>
          <w:p w14:paraId="51FA5FC3">
            <w:pPr>
              <w:ind w:firstLine="480" w:firstLineChars="200"/>
              <w:rPr>
                <w:rFonts w:ascii="宋体" w:hAnsi="宋体" w:eastAsia="宋体" w:cs="宋体"/>
                <w:bCs/>
              </w:rPr>
            </w:pPr>
            <w:r>
              <w:rPr>
                <w:rFonts w:hint="eastAsia" w:ascii="宋体" w:hAnsi="宋体" w:eastAsia="宋体" w:cs="宋体"/>
                <w:bCs/>
              </w:rPr>
              <w:t>2 洁净病区应设准备、患者浴室和卫生间、护士室、洗涤消毒用房、净化设备机房。</w:t>
            </w:r>
          </w:p>
          <w:p w14:paraId="0D38AB69">
            <w:pPr>
              <w:ind w:firstLine="480" w:firstLineChars="200"/>
              <w:rPr>
                <w:rFonts w:ascii="宋体" w:hAnsi="宋体" w:eastAsia="宋体" w:cs="宋体"/>
                <w:bCs/>
              </w:rPr>
            </w:pPr>
            <w:r>
              <w:rPr>
                <w:rFonts w:hint="eastAsia" w:ascii="宋体" w:hAnsi="宋体" w:eastAsia="宋体" w:cs="宋体"/>
                <w:bCs/>
              </w:rPr>
              <w:t>3 入口处应设包括换鞋、更衣、卫生间和淋浴的医护人员卫生通道。</w:t>
            </w:r>
          </w:p>
          <w:p w14:paraId="5214A061">
            <w:pPr>
              <w:ind w:firstLine="480" w:firstLineChars="200"/>
              <w:rPr>
                <w:rFonts w:ascii="宋体" w:hAnsi="宋体" w:eastAsia="宋体" w:cs="宋体"/>
                <w:bCs/>
              </w:rPr>
            </w:pPr>
            <w:r>
              <w:rPr>
                <w:rFonts w:hint="eastAsia" w:ascii="宋体" w:hAnsi="宋体" w:eastAsia="宋体" w:cs="宋体"/>
                <w:bCs/>
              </w:rPr>
              <w:t>4 患者浴室和卫生间</w:t>
            </w:r>
            <w:r>
              <w:rPr>
                <w:rFonts w:hint="eastAsia" w:ascii="宋体" w:hAnsi="宋体" w:eastAsia="宋体" w:cs="宋体"/>
                <w:bCs/>
                <w:u w:val="single"/>
              </w:rPr>
              <w:t>应</w:t>
            </w:r>
            <w:r>
              <w:rPr>
                <w:rFonts w:hint="eastAsia" w:ascii="宋体" w:hAnsi="宋体" w:eastAsia="宋体" w:cs="宋体"/>
                <w:bCs/>
              </w:rPr>
              <w:t>单独设置，并应同时设有淋浴器和浴盆。</w:t>
            </w:r>
          </w:p>
          <w:p w14:paraId="16CBD9B4">
            <w:pPr>
              <w:ind w:firstLine="480" w:firstLineChars="200"/>
              <w:rPr>
                <w:rFonts w:ascii="宋体" w:hAnsi="宋体" w:eastAsia="宋体" w:cs="宋体"/>
                <w:bCs/>
              </w:rPr>
            </w:pPr>
            <w:r>
              <w:rPr>
                <w:rFonts w:hint="eastAsia" w:ascii="宋体" w:hAnsi="宋体" w:eastAsia="宋体" w:cs="宋体"/>
                <w:bCs/>
              </w:rPr>
              <w:t>5 洁净病房应</w:t>
            </w:r>
            <w:r>
              <w:rPr>
                <w:rFonts w:hint="eastAsia" w:ascii="宋体" w:hAnsi="宋体" w:eastAsia="宋体" w:cs="宋体"/>
                <w:bCs/>
                <w:u w:val="single"/>
              </w:rPr>
              <w:t>为单人病房</w:t>
            </w:r>
            <w:r>
              <w:rPr>
                <w:rFonts w:hint="eastAsia" w:ascii="宋体" w:hAnsi="宋体" w:eastAsia="宋体" w:cs="宋体"/>
                <w:bCs/>
              </w:rPr>
              <w:t>，并应在入口处设第二次换鞋、更衣处。</w:t>
            </w:r>
          </w:p>
          <w:p w14:paraId="7484AB81">
            <w:pPr>
              <w:ind w:firstLine="480" w:firstLineChars="200"/>
            </w:pPr>
            <w:r>
              <w:rPr>
                <w:rFonts w:hint="eastAsia" w:ascii="宋体" w:hAnsi="宋体" w:eastAsia="宋体" w:cs="宋体"/>
                <w:bCs/>
              </w:rPr>
              <w:t>6 洁净病房</w:t>
            </w:r>
            <w:r>
              <w:rPr>
                <w:rFonts w:hint="eastAsia" w:ascii="宋体" w:hAnsi="宋体" w:eastAsia="宋体" w:cs="宋体"/>
                <w:bCs/>
                <w:u w:val="single"/>
              </w:rPr>
              <w:t>可</w:t>
            </w:r>
            <w:r>
              <w:rPr>
                <w:rFonts w:hint="eastAsia" w:ascii="宋体" w:hAnsi="宋体" w:eastAsia="宋体" w:cs="宋体"/>
                <w:bCs/>
              </w:rPr>
              <w:t>设观察窗，并</w:t>
            </w:r>
            <w:r>
              <w:rPr>
                <w:rFonts w:hint="eastAsia" w:ascii="宋体" w:hAnsi="宋体" w:eastAsia="宋体" w:cs="宋体"/>
                <w:bCs/>
                <w:u w:val="single"/>
              </w:rPr>
              <w:t>可</w:t>
            </w:r>
            <w:r>
              <w:rPr>
                <w:rFonts w:hint="eastAsia" w:ascii="宋体" w:hAnsi="宋体" w:eastAsia="宋体" w:cs="宋体"/>
                <w:bCs/>
              </w:rPr>
              <w:t>设置家属探视窗</w:t>
            </w:r>
            <w:r>
              <w:rPr>
                <w:rFonts w:hint="eastAsia" w:ascii="宋体" w:hAnsi="宋体" w:eastAsia="宋体" w:cs="宋体"/>
                <w:bCs/>
                <w:u w:val="single"/>
              </w:rPr>
              <w:t>或</w:t>
            </w:r>
            <w:r>
              <w:rPr>
                <w:rFonts w:ascii="宋体" w:hAnsi="宋体" w:eastAsia="宋体" w:cs="宋体"/>
                <w:bCs/>
                <w:u w:val="single"/>
              </w:rPr>
              <w:t>视频探视</w:t>
            </w:r>
            <w:r>
              <w:rPr>
                <w:rFonts w:hint="eastAsia" w:ascii="宋体" w:hAnsi="宋体" w:eastAsia="宋体" w:cs="宋体"/>
                <w:bCs/>
              </w:rPr>
              <w:t>设备。</w:t>
            </w:r>
          </w:p>
        </w:tc>
      </w:tr>
      <w:tr w14:paraId="54643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73262E5"/>
        </w:tc>
        <w:tc>
          <w:tcPr>
            <w:tcW w:w="4261" w:type="dxa"/>
            <w:shd w:val="clear" w:color="auto" w:fill="auto"/>
          </w:tcPr>
          <w:p w14:paraId="1308D1C5">
            <w:r>
              <w:rPr>
                <w:rFonts w:hint="eastAsia" w:cs="黑体" w:asciiTheme="minorEastAsia" w:hAnsiTheme="minorEastAsia"/>
                <w:u w:val="single"/>
              </w:rPr>
              <w:t>5.5.18 设置感染疾病病房时，应参照</w:t>
            </w:r>
            <w:r>
              <w:rPr>
                <w:rFonts w:hint="eastAsia" w:asciiTheme="minorEastAsia" w:hAnsiTheme="minorEastAsia"/>
                <w:u w:val="single"/>
              </w:rPr>
              <w:t>《传染病医院建筑设计规范》GB50849的有关规定。</w:t>
            </w:r>
          </w:p>
        </w:tc>
      </w:tr>
      <w:tr w14:paraId="53B5B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9C7AB96">
            <w:pPr>
              <w:jc w:val="center"/>
              <w:rPr>
                <w:rFonts w:asciiTheme="minorEastAsia" w:hAnsiTheme="minorEastAsia"/>
              </w:rPr>
            </w:pPr>
            <w:bookmarkStart w:id="10" w:name="_Toc85880727"/>
            <w:r>
              <w:rPr>
                <w:rFonts w:hint="eastAsia" w:asciiTheme="minorEastAsia" w:hAnsiTheme="minorEastAsia"/>
              </w:rPr>
              <w:t>5.7</w:t>
            </w:r>
            <w:r>
              <w:rPr>
                <w:rFonts w:asciiTheme="minorEastAsia" w:hAnsiTheme="minorEastAsia"/>
              </w:rPr>
              <w:t xml:space="preserve"> </w:t>
            </w:r>
            <w:r>
              <w:rPr>
                <w:rFonts w:hint="eastAsia" w:asciiTheme="minorEastAsia" w:hAnsiTheme="minorEastAsia"/>
              </w:rPr>
              <w:t>手术部用房</w:t>
            </w:r>
            <w:bookmarkEnd w:id="10"/>
          </w:p>
        </w:tc>
        <w:tc>
          <w:tcPr>
            <w:tcW w:w="4261" w:type="dxa"/>
          </w:tcPr>
          <w:p w14:paraId="7C0E829D">
            <w:pPr>
              <w:jc w:val="center"/>
              <w:rPr>
                <w:rFonts w:asciiTheme="minorEastAsia" w:hAnsiTheme="minorEastAsia"/>
              </w:rPr>
            </w:pPr>
            <w:r>
              <w:rPr>
                <w:rFonts w:hint="eastAsia" w:asciiTheme="minorEastAsia" w:hAnsiTheme="minorEastAsia"/>
              </w:rPr>
              <w:t>5.7</w:t>
            </w:r>
            <w:r>
              <w:rPr>
                <w:rFonts w:asciiTheme="minorEastAsia" w:hAnsiTheme="minorEastAsia"/>
              </w:rPr>
              <w:t xml:space="preserve"> </w:t>
            </w:r>
            <w:r>
              <w:rPr>
                <w:rFonts w:hint="eastAsia" w:asciiTheme="minorEastAsia" w:hAnsiTheme="minorEastAsia"/>
              </w:rPr>
              <w:t>手术部用房</w:t>
            </w:r>
          </w:p>
        </w:tc>
      </w:tr>
      <w:tr w14:paraId="7F660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DDD1D40">
            <w:r>
              <w:rPr>
                <w:rFonts w:hint="eastAsia" w:asciiTheme="minorEastAsia" w:hAnsiTheme="minorEastAsia"/>
                <w:bCs/>
              </w:rPr>
              <w:t>5.7.1 手术部的环境要求，应符合现行国家标准《医院消毒卫生标准》GB15982的有关规定，手术部应分为一般手术部和洁净手术部洁净手术部应</w:t>
            </w:r>
            <w:r>
              <w:rPr>
                <w:rFonts w:hint="eastAsia" w:asciiTheme="minorEastAsia" w:hAnsiTheme="minorEastAsia"/>
                <w:bCs/>
                <w:bdr w:val="single" w:color="auto" w:sz="4" w:space="0"/>
              </w:rPr>
              <w:t>按</w:t>
            </w:r>
            <w:r>
              <w:rPr>
                <w:rFonts w:hint="eastAsia" w:asciiTheme="minorEastAsia" w:hAnsiTheme="minorEastAsia"/>
                <w:bCs/>
              </w:rPr>
              <w:t>现行国家标准《医院洁净手术部建筑技术规范》GB50333的有关规定</w:t>
            </w:r>
            <w:r>
              <w:rPr>
                <w:rFonts w:hint="eastAsia" w:asciiTheme="minorEastAsia" w:hAnsiTheme="minorEastAsia"/>
                <w:bCs/>
                <w:bdr w:val="single" w:color="auto" w:sz="4" w:space="0"/>
              </w:rPr>
              <w:t>设计</w:t>
            </w:r>
            <w:r>
              <w:rPr>
                <w:rFonts w:hint="eastAsia" w:asciiTheme="minorEastAsia" w:hAnsiTheme="minorEastAsia"/>
                <w:bCs/>
              </w:rPr>
              <w:t>。</w:t>
            </w:r>
          </w:p>
        </w:tc>
        <w:tc>
          <w:tcPr>
            <w:tcW w:w="4261" w:type="dxa"/>
          </w:tcPr>
          <w:p w14:paraId="26B81763">
            <w:r>
              <w:rPr>
                <w:rFonts w:hint="eastAsia" w:asciiTheme="minorEastAsia" w:hAnsiTheme="minorEastAsia"/>
                <w:bCs/>
              </w:rPr>
              <w:t>5.7.1 手术部的环境要求，应符合现行国家标准《医院消毒卫生标准》GB15982的有关规定，手术部应分为一般手术部和洁净手术部</w:t>
            </w:r>
            <w:r>
              <w:rPr>
                <w:rFonts w:hint="eastAsia" w:asciiTheme="minorEastAsia" w:hAnsiTheme="minorEastAsia"/>
                <w:bCs/>
                <w:u w:val="single"/>
              </w:rPr>
              <w:t>。</w:t>
            </w:r>
            <w:r>
              <w:rPr>
                <w:rFonts w:hint="eastAsia" w:asciiTheme="minorEastAsia" w:hAnsiTheme="minorEastAsia"/>
                <w:bCs/>
              </w:rPr>
              <w:t>洁净手术部应</w:t>
            </w:r>
            <w:r>
              <w:rPr>
                <w:rFonts w:hint="eastAsia" w:asciiTheme="minorEastAsia" w:hAnsiTheme="minorEastAsia"/>
                <w:bCs/>
                <w:u w:val="single"/>
              </w:rPr>
              <w:t>符合</w:t>
            </w:r>
            <w:r>
              <w:rPr>
                <w:rFonts w:hint="eastAsia" w:asciiTheme="minorEastAsia" w:hAnsiTheme="minorEastAsia"/>
                <w:bCs/>
              </w:rPr>
              <w:t>现行国家标准《医院洁净手术部建筑技术规范》GB50333的有关规定。</w:t>
            </w:r>
          </w:p>
        </w:tc>
      </w:tr>
      <w:tr w14:paraId="14863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A55EED">
            <w:pPr>
              <w:widowControl/>
              <w:rPr>
                <w:rFonts w:ascii="宋体" w:hAnsi="宋体" w:eastAsia="宋体"/>
                <w:bCs/>
              </w:rPr>
            </w:pPr>
            <w:r>
              <w:rPr>
                <w:rFonts w:hint="eastAsia" w:ascii="宋体" w:hAnsi="宋体" w:eastAsia="宋体"/>
                <w:bCs/>
              </w:rPr>
              <w:t>5.7.2 手术部用房位置和平面布置，应符合下列要求：</w:t>
            </w:r>
          </w:p>
          <w:p w14:paraId="6E376942">
            <w:pPr>
              <w:ind w:firstLine="480" w:firstLineChars="200"/>
              <w:rPr>
                <w:rFonts w:ascii="宋体" w:hAnsi="宋体" w:eastAsia="宋体" w:cs="宋体"/>
                <w:bCs/>
              </w:rPr>
            </w:pPr>
            <w:r>
              <w:rPr>
                <w:rFonts w:hint="eastAsia" w:ascii="宋体" w:hAnsi="宋体" w:eastAsia="宋体" w:cs="宋体"/>
                <w:bCs/>
              </w:rPr>
              <w:t>1 手术部应自成一区，宜与外科护理单元邻近，并宜与相关的急诊、介入治疗科、重症监护科（ICU）、病理科、中心（消毒）供应室、血库等路径便捷；</w:t>
            </w:r>
          </w:p>
          <w:p w14:paraId="5ECE0DE6">
            <w:pPr>
              <w:ind w:firstLine="480" w:firstLineChars="200"/>
              <w:rPr>
                <w:rFonts w:ascii="宋体" w:hAnsi="宋体" w:eastAsia="宋体" w:cs="宋体"/>
                <w:bCs/>
              </w:rPr>
            </w:pPr>
            <w:r>
              <w:rPr>
                <w:rFonts w:hint="eastAsia" w:ascii="宋体" w:hAnsi="宋体" w:eastAsia="宋体" w:cs="宋体"/>
                <w:bCs/>
              </w:rPr>
              <w:t>2 手术部不宜设在首层；</w:t>
            </w:r>
          </w:p>
          <w:p w14:paraId="21F81363">
            <w:pPr>
              <w:ind w:firstLine="480" w:firstLineChars="200"/>
              <w:rPr>
                <w:rFonts w:ascii="宋体" w:hAnsi="宋体" w:eastAsia="宋体" w:cs="宋体"/>
                <w:bCs/>
              </w:rPr>
            </w:pPr>
            <w:r>
              <w:rPr>
                <w:rFonts w:hint="eastAsia" w:ascii="宋体" w:hAnsi="宋体" w:eastAsia="宋体" w:cs="宋体"/>
                <w:bCs/>
              </w:rPr>
              <w:t>3 平面布置应符合功能流程和洁污分区要求；</w:t>
            </w:r>
          </w:p>
          <w:p w14:paraId="450C86D8">
            <w:pPr>
              <w:ind w:firstLine="480" w:firstLineChars="200"/>
              <w:rPr>
                <w:rFonts w:ascii="宋体" w:hAnsi="宋体" w:eastAsia="宋体" w:cs="宋体"/>
                <w:bCs/>
              </w:rPr>
            </w:pPr>
            <w:r>
              <w:rPr>
                <w:rFonts w:hint="eastAsia" w:ascii="宋体" w:hAnsi="宋体" w:eastAsia="宋体" w:cs="宋体"/>
                <w:bCs/>
              </w:rPr>
              <w:t>4 入口处应设医护人员卫生通过，且换鞋处应采取防止洁污交叉的措施；</w:t>
            </w:r>
          </w:p>
          <w:p w14:paraId="0C9DEA0F">
            <w:pPr>
              <w:ind w:firstLine="480" w:firstLineChars="200"/>
            </w:pPr>
            <w:r>
              <w:rPr>
                <w:rFonts w:hint="eastAsia" w:ascii="宋体" w:hAnsi="宋体" w:eastAsia="宋体" w:cs="宋体"/>
                <w:bCs/>
              </w:rPr>
              <w:t>5 通往外部的门应采用弹簧门或自动启闭门。</w:t>
            </w:r>
          </w:p>
        </w:tc>
        <w:tc>
          <w:tcPr>
            <w:tcW w:w="4261" w:type="dxa"/>
          </w:tcPr>
          <w:p w14:paraId="2128EFE8">
            <w:pPr>
              <w:widowControl/>
              <w:rPr>
                <w:rFonts w:ascii="宋体" w:hAnsi="宋体" w:eastAsia="宋体"/>
                <w:bCs/>
              </w:rPr>
            </w:pPr>
            <w:r>
              <w:rPr>
                <w:rFonts w:hint="eastAsia" w:ascii="宋体" w:hAnsi="宋体" w:eastAsia="宋体"/>
                <w:bCs/>
              </w:rPr>
              <w:t>5.7.2 手术部用房位置和平面布置，应符合下列要求：</w:t>
            </w:r>
          </w:p>
          <w:p w14:paraId="3A88626F">
            <w:pPr>
              <w:ind w:firstLine="480" w:firstLineChars="200"/>
              <w:rPr>
                <w:rFonts w:ascii="宋体" w:hAnsi="宋体" w:eastAsia="宋体" w:cs="宋体"/>
                <w:bCs/>
              </w:rPr>
            </w:pPr>
            <w:r>
              <w:rPr>
                <w:rFonts w:hint="eastAsia" w:ascii="宋体" w:hAnsi="宋体" w:eastAsia="宋体" w:cs="宋体"/>
                <w:bCs/>
              </w:rPr>
              <w:t>1 手术部应自成一区，宜与外科护理单元邻近，并宜与相关的急诊、介入治疗科、重症监护科（ICU）、病理科、中心（消毒）供应室、血库等路径便捷；</w:t>
            </w:r>
          </w:p>
          <w:p w14:paraId="1D351D49">
            <w:pPr>
              <w:ind w:firstLine="480" w:firstLineChars="200"/>
              <w:rPr>
                <w:rFonts w:ascii="宋体" w:hAnsi="宋体" w:eastAsia="宋体" w:cs="宋体"/>
                <w:bCs/>
              </w:rPr>
            </w:pPr>
            <w:r>
              <w:rPr>
                <w:rFonts w:hint="eastAsia" w:ascii="宋体" w:hAnsi="宋体" w:eastAsia="宋体" w:cs="宋体"/>
                <w:bCs/>
              </w:rPr>
              <w:t>2 手术部不宜设在首层；</w:t>
            </w:r>
          </w:p>
          <w:p w14:paraId="19B12EA5">
            <w:pPr>
              <w:ind w:firstLine="480" w:firstLineChars="200"/>
              <w:rPr>
                <w:rFonts w:ascii="宋体" w:hAnsi="宋体" w:eastAsia="宋体" w:cs="宋体"/>
                <w:bCs/>
              </w:rPr>
            </w:pPr>
            <w:r>
              <w:rPr>
                <w:rFonts w:hint="eastAsia" w:ascii="宋体" w:hAnsi="宋体" w:eastAsia="宋体" w:cs="宋体"/>
                <w:bCs/>
              </w:rPr>
              <w:t>3 平面布置应符合功能流程和洁</w:t>
            </w:r>
            <w:r>
              <w:rPr>
                <w:rFonts w:hint="eastAsia" w:ascii="宋体" w:hAnsi="宋体" w:eastAsia="宋体" w:cs="宋体"/>
                <w:bCs/>
                <w:u w:val="single"/>
              </w:rPr>
              <w:t>、</w:t>
            </w:r>
            <w:r>
              <w:rPr>
                <w:rFonts w:hint="eastAsia" w:ascii="宋体" w:hAnsi="宋体" w:eastAsia="宋体" w:cs="宋体"/>
                <w:bCs/>
              </w:rPr>
              <w:t>污分区要求；</w:t>
            </w:r>
          </w:p>
          <w:p w14:paraId="3D574177">
            <w:pPr>
              <w:ind w:firstLine="480" w:firstLineChars="200"/>
              <w:rPr>
                <w:rFonts w:ascii="宋体" w:hAnsi="宋体" w:eastAsia="宋体" w:cs="宋体"/>
                <w:bCs/>
              </w:rPr>
            </w:pPr>
            <w:r>
              <w:rPr>
                <w:rFonts w:hint="eastAsia" w:ascii="宋体" w:hAnsi="宋体" w:eastAsia="宋体" w:cs="宋体"/>
                <w:bCs/>
              </w:rPr>
              <w:t>4 入口处应设医护人员卫生通过，且换鞋处应采取防止洁污交叉的措施；</w:t>
            </w:r>
          </w:p>
          <w:p w14:paraId="57773DAF">
            <w:pPr>
              <w:ind w:firstLine="480" w:firstLineChars="200"/>
            </w:pPr>
            <w:r>
              <w:rPr>
                <w:rFonts w:hint="eastAsia" w:ascii="宋体" w:hAnsi="宋体" w:eastAsia="宋体" w:cs="宋体"/>
                <w:bCs/>
              </w:rPr>
              <w:t>5 通往外部的门应采用弹簧门或自动启闭门。</w:t>
            </w:r>
          </w:p>
        </w:tc>
      </w:tr>
      <w:tr w14:paraId="72D95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C4725FF">
            <w:pPr>
              <w:widowControl/>
              <w:rPr>
                <w:rFonts w:ascii="宋体" w:hAnsi="宋体" w:eastAsia="宋体"/>
                <w:bCs/>
              </w:rPr>
            </w:pPr>
            <w:r>
              <w:rPr>
                <w:rFonts w:hint="eastAsia" w:ascii="宋体" w:hAnsi="宋体" w:eastAsia="宋体"/>
                <w:bCs/>
              </w:rPr>
              <w:t>5.7.3 手术部用房设置应符合下列规定：</w:t>
            </w:r>
          </w:p>
          <w:p w14:paraId="5089A105">
            <w:pPr>
              <w:ind w:firstLine="480" w:firstLineChars="200"/>
              <w:rPr>
                <w:rFonts w:ascii="宋体" w:hAnsi="宋体" w:eastAsia="宋体" w:cs="宋体"/>
                <w:bCs/>
              </w:rPr>
            </w:pPr>
            <w:r>
              <w:rPr>
                <w:rFonts w:hint="eastAsia" w:ascii="宋体" w:hAnsi="宋体" w:eastAsia="宋体" w:cs="宋体"/>
                <w:bCs/>
              </w:rPr>
              <w:t>1 应设手术室、刷手、术后苏醒、换床、护士室、麻醉师办公室、换鞋、男女更衣、男女浴室和卫生间、无菌物品存放、清洗、消毒、污物和库房等用房；</w:t>
            </w:r>
          </w:p>
          <w:p w14:paraId="4AF3208C">
            <w:pPr>
              <w:ind w:firstLine="480" w:firstLineChars="200"/>
            </w:pPr>
            <w:r>
              <w:rPr>
                <w:rFonts w:hint="eastAsia" w:ascii="宋体" w:hAnsi="宋体" w:eastAsia="宋体" w:cs="宋体"/>
                <w:bCs/>
              </w:rPr>
              <w:t>2 可设洁净手术室、手术准备室、石膏室、冰冻切片、</w:t>
            </w:r>
            <w:r>
              <w:rPr>
                <w:rFonts w:hint="eastAsia" w:ascii="宋体" w:hAnsi="宋体" w:eastAsia="宋体" w:cs="宋体"/>
                <w:bCs/>
                <w:bdr w:val="single" w:color="auto" w:sz="4" w:space="0"/>
              </w:rPr>
              <w:t>敷料制作、</w:t>
            </w:r>
            <w:r>
              <w:rPr>
                <w:rFonts w:hint="eastAsia" w:ascii="宋体" w:hAnsi="宋体" w:eastAsia="宋体" w:cs="宋体"/>
                <w:bCs/>
              </w:rPr>
              <w:t>麻醉器械贮藏、教学、医护休息、男女值班和家属等候等用房。</w:t>
            </w:r>
          </w:p>
        </w:tc>
        <w:tc>
          <w:tcPr>
            <w:tcW w:w="4261" w:type="dxa"/>
          </w:tcPr>
          <w:p w14:paraId="6C346BA1">
            <w:pPr>
              <w:widowControl/>
              <w:rPr>
                <w:rFonts w:ascii="宋体" w:hAnsi="宋体" w:eastAsia="宋体"/>
                <w:bCs/>
              </w:rPr>
            </w:pPr>
            <w:r>
              <w:rPr>
                <w:rFonts w:hint="eastAsia" w:ascii="宋体" w:hAnsi="宋体" w:eastAsia="宋体"/>
                <w:bCs/>
              </w:rPr>
              <w:t>5.7.3 手术部用房设置应符合下列规定：</w:t>
            </w:r>
          </w:p>
          <w:p w14:paraId="3211F859">
            <w:pPr>
              <w:ind w:firstLine="480" w:firstLineChars="200"/>
              <w:rPr>
                <w:rFonts w:ascii="宋体" w:hAnsi="宋体" w:eastAsia="宋体" w:cs="宋体"/>
                <w:bCs/>
              </w:rPr>
            </w:pPr>
            <w:r>
              <w:rPr>
                <w:rFonts w:hint="eastAsia" w:ascii="宋体" w:hAnsi="宋体" w:eastAsia="宋体" w:cs="宋体"/>
                <w:bCs/>
              </w:rPr>
              <w:t>1 应设手术室、刷手、术后苏醒、换床、护士室、麻醉师办公室、换鞋、男女更衣、男女浴室和卫生间、无菌物品存放、清洗、消毒、污物和库房等用房；</w:t>
            </w:r>
          </w:p>
          <w:p w14:paraId="767147B8">
            <w:r>
              <w:rPr>
                <w:rFonts w:hint="eastAsia" w:ascii="宋体" w:hAnsi="宋体" w:eastAsia="宋体" w:cs="宋体"/>
                <w:bCs/>
              </w:rPr>
              <w:t>2 可设洁净手术室、手术准备室、石膏室、冰冻切片、麻醉器械贮藏、教学、医护休息、男女值班</w:t>
            </w:r>
            <w:r>
              <w:rPr>
                <w:rFonts w:hint="eastAsia" w:ascii="宋体" w:hAnsi="宋体" w:eastAsia="宋体"/>
                <w:bCs/>
                <w:u w:val="single"/>
              </w:rPr>
              <w:t>、医生用餐、应急消毒</w:t>
            </w:r>
            <w:r>
              <w:rPr>
                <w:rFonts w:hint="eastAsia" w:ascii="宋体" w:hAnsi="宋体" w:eastAsia="宋体" w:cs="宋体"/>
                <w:bCs/>
              </w:rPr>
              <w:t>和家属等候等用房。</w:t>
            </w:r>
          </w:p>
        </w:tc>
      </w:tr>
      <w:tr w14:paraId="7A97C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63C3814"/>
        </w:tc>
        <w:tc>
          <w:tcPr>
            <w:tcW w:w="4261" w:type="dxa"/>
          </w:tcPr>
          <w:p w14:paraId="1F402352">
            <w:r>
              <w:rPr>
                <w:rFonts w:hint="eastAsia" w:asciiTheme="minorEastAsia" w:hAnsiTheme="minorEastAsia"/>
                <w:bCs/>
                <w:u w:val="single"/>
              </w:rPr>
              <w:t>5.7.3</w:t>
            </w:r>
            <w:r>
              <w:rPr>
                <w:rFonts w:asciiTheme="minorEastAsia" w:hAnsiTheme="minorEastAsia"/>
                <w:bCs/>
                <w:u w:val="single"/>
              </w:rPr>
              <w:t>A</w:t>
            </w:r>
            <w:r>
              <w:rPr>
                <w:rFonts w:hint="eastAsia" w:asciiTheme="minorEastAsia" w:hAnsiTheme="minorEastAsia"/>
                <w:bCs/>
                <w:u w:val="single"/>
              </w:rPr>
              <w:t xml:space="preserve"> 负压手术室宜设置独立出入口，并在出入口处设缓冲室。</w:t>
            </w:r>
          </w:p>
        </w:tc>
      </w:tr>
      <w:tr w14:paraId="6CC65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B04EE31"/>
        </w:tc>
        <w:tc>
          <w:tcPr>
            <w:tcW w:w="4261" w:type="dxa"/>
          </w:tcPr>
          <w:p w14:paraId="7732A3E4">
            <w:r>
              <w:rPr>
                <w:rFonts w:hint="eastAsia" w:asciiTheme="minorEastAsia" w:hAnsiTheme="minorEastAsia"/>
                <w:bCs/>
                <w:u w:val="single"/>
              </w:rPr>
              <w:t>5.7.3B</w:t>
            </w:r>
            <w:r>
              <w:rPr>
                <w:rFonts w:asciiTheme="minorEastAsia" w:hAnsiTheme="minorEastAsia"/>
                <w:bCs/>
                <w:u w:val="single"/>
              </w:rPr>
              <w:t xml:space="preserve"> </w:t>
            </w:r>
            <w:r>
              <w:rPr>
                <w:rFonts w:hint="eastAsia" w:asciiTheme="minorEastAsia" w:hAnsiTheme="minorEastAsia"/>
                <w:bCs/>
                <w:u w:val="single"/>
              </w:rPr>
              <w:t>多功能复合手术室需根据复合设备配置，满足空间和荷载要求，并应设置控制室、设备间。多功能复合手术室的防护设计应符合国家现行相关标准。</w:t>
            </w:r>
          </w:p>
        </w:tc>
      </w:tr>
      <w:tr w14:paraId="28E32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FF9921C">
            <w:pPr>
              <w:widowControl/>
              <w:rPr>
                <w:rFonts w:ascii="宋体" w:hAnsi="宋体" w:eastAsia="宋体"/>
                <w:bCs/>
              </w:rPr>
            </w:pPr>
            <w:r>
              <w:rPr>
                <w:rFonts w:hint="eastAsia" w:ascii="宋体" w:hAnsi="宋体" w:eastAsia="宋体"/>
                <w:bCs/>
              </w:rPr>
              <w:t>5.7.4 手术室平面尺寸应符合下列要求：</w:t>
            </w:r>
          </w:p>
          <w:p w14:paraId="7466F7BD">
            <w:pPr>
              <w:ind w:firstLine="480" w:firstLineChars="200"/>
              <w:rPr>
                <w:rFonts w:ascii="宋体" w:hAnsi="宋体" w:eastAsia="宋体" w:cs="宋体"/>
                <w:bCs/>
                <w:bdr w:val="single" w:color="auto" w:sz="4" w:space="0"/>
              </w:rPr>
            </w:pPr>
            <w:r>
              <w:rPr>
                <w:rFonts w:hint="eastAsia" w:ascii="宋体" w:hAnsi="宋体" w:eastAsia="宋体" w:cs="宋体"/>
                <w:bCs/>
              </w:rPr>
              <w:t>1 应根据需要选用手术室平面尺寸，平面尺寸</w:t>
            </w:r>
            <w:r>
              <w:rPr>
                <w:rFonts w:hint="eastAsia" w:ascii="宋体" w:hAnsi="宋体" w:eastAsia="宋体" w:cs="宋体"/>
                <w:bCs/>
                <w:bdr w:val="single" w:color="auto" w:sz="4" w:space="0"/>
              </w:rPr>
              <w:t>不应小于表</w:t>
            </w:r>
            <w:r>
              <w:rPr>
                <w:rFonts w:ascii="宋体" w:hAnsi="宋体" w:eastAsia="宋体" w:cs="宋体"/>
                <w:bCs/>
                <w:bdr w:val="single" w:color="auto" w:sz="4" w:space="0"/>
              </w:rPr>
              <w:t>5.7.4的规定。</w:t>
            </w:r>
          </w:p>
          <w:p w14:paraId="2D3AF703">
            <w:pPr>
              <w:jc w:val="center"/>
              <w:rPr>
                <w:rFonts w:ascii="宋体" w:hAnsi="宋体" w:eastAsia="宋体"/>
                <w:b/>
                <w:bCs/>
                <w:sz w:val="18"/>
                <w:szCs w:val="22"/>
                <w:bdr w:val="single" w:color="auto" w:sz="4" w:space="0"/>
              </w:rPr>
            </w:pPr>
            <w:r>
              <w:rPr>
                <w:rFonts w:hint="eastAsia" w:ascii="宋体" w:hAnsi="宋体" w:eastAsia="宋体"/>
                <w:b/>
                <w:bCs/>
                <w:sz w:val="18"/>
                <w:szCs w:val="22"/>
                <w:bdr w:val="single" w:color="auto" w:sz="4" w:space="0"/>
              </w:rPr>
              <w:t>表</w:t>
            </w:r>
            <w:r>
              <w:rPr>
                <w:rFonts w:ascii="宋体" w:hAnsi="宋体" w:eastAsia="宋体"/>
                <w:b/>
                <w:bCs/>
                <w:sz w:val="18"/>
                <w:szCs w:val="22"/>
                <w:bdr w:val="single" w:color="auto" w:sz="4" w:space="0"/>
              </w:rPr>
              <w:t xml:space="preserve">5.7.4 </w:t>
            </w:r>
            <w:r>
              <w:rPr>
                <w:rFonts w:hint="eastAsia" w:ascii="宋体" w:hAnsi="宋体" w:eastAsia="宋体"/>
                <w:b/>
                <w:bCs/>
                <w:sz w:val="18"/>
                <w:szCs w:val="22"/>
                <w:bdr w:val="single" w:color="auto" w:sz="4" w:space="0"/>
              </w:rPr>
              <w:t>手术室平面尺寸</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232"/>
            </w:tblGrid>
            <w:tr w14:paraId="12F1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3" w:type="dxa"/>
                  <w:shd w:val="clear" w:color="auto" w:fill="auto"/>
                  <w:vAlign w:val="center"/>
                </w:tcPr>
                <w:p w14:paraId="4A22F08D">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手术室类型</w:t>
                  </w:r>
                </w:p>
              </w:tc>
              <w:tc>
                <w:tcPr>
                  <w:tcW w:w="2232" w:type="dxa"/>
                  <w:shd w:val="clear" w:color="auto" w:fill="auto"/>
                  <w:vAlign w:val="center"/>
                </w:tcPr>
                <w:p w14:paraId="39732F7C">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平面尺寸</w:t>
                  </w:r>
                  <w:r>
                    <w:rPr>
                      <w:rFonts w:ascii="宋体" w:hAnsi="宋体" w:eastAsia="宋体"/>
                      <w:bCs/>
                      <w:sz w:val="18"/>
                      <w:szCs w:val="21"/>
                      <w:bdr w:val="single" w:color="auto" w:sz="4" w:space="0"/>
                    </w:rPr>
                    <w:t>（m）</w:t>
                  </w:r>
                </w:p>
              </w:tc>
            </w:tr>
            <w:tr w14:paraId="4EBF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shd w:val="clear" w:color="auto" w:fill="auto"/>
                  <w:vAlign w:val="center"/>
                </w:tcPr>
                <w:p w14:paraId="533693FC">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特大型</w:t>
                  </w:r>
                </w:p>
              </w:tc>
              <w:tc>
                <w:tcPr>
                  <w:tcW w:w="2232" w:type="dxa"/>
                  <w:shd w:val="clear" w:color="auto" w:fill="auto"/>
                  <w:vAlign w:val="center"/>
                </w:tcPr>
                <w:p w14:paraId="6FD80EE0">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7.50x5.70</w:t>
                  </w:r>
                </w:p>
              </w:tc>
            </w:tr>
            <w:tr w14:paraId="5BD6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shd w:val="clear" w:color="auto" w:fill="auto"/>
                  <w:vAlign w:val="center"/>
                </w:tcPr>
                <w:p w14:paraId="250BFE73">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大型</w:t>
                  </w:r>
                </w:p>
              </w:tc>
              <w:tc>
                <w:tcPr>
                  <w:tcW w:w="2232" w:type="dxa"/>
                  <w:shd w:val="clear" w:color="auto" w:fill="auto"/>
                  <w:vAlign w:val="center"/>
                </w:tcPr>
                <w:p w14:paraId="582D45A9">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5.70x5.40</w:t>
                  </w:r>
                </w:p>
              </w:tc>
            </w:tr>
            <w:tr w14:paraId="59E2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shd w:val="clear" w:color="auto" w:fill="auto"/>
                  <w:vAlign w:val="center"/>
                </w:tcPr>
                <w:p w14:paraId="485FEFF7">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中型</w:t>
                  </w:r>
                </w:p>
              </w:tc>
              <w:tc>
                <w:tcPr>
                  <w:tcW w:w="2232" w:type="dxa"/>
                  <w:shd w:val="clear" w:color="auto" w:fill="auto"/>
                  <w:vAlign w:val="center"/>
                </w:tcPr>
                <w:p w14:paraId="2385AA47">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5.40x4</w:t>
                  </w:r>
                  <w:r>
                    <w:rPr>
                      <w:rFonts w:ascii="宋体" w:hAnsi="宋体" w:eastAsia="宋体"/>
                      <w:bCs/>
                      <w:sz w:val="18"/>
                      <w:szCs w:val="21"/>
                      <w:bdr w:val="single" w:color="auto" w:sz="4" w:space="0"/>
                    </w:rPr>
                    <w:t>.</w:t>
                  </w:r>
                  <w:r>
                    <w:rPr>
                      <w:rFonts w:hint="eastAsia" w:ascii="宋体" w:hAnsi="宋体" w:eastAsia="宋体"/>
                      <w:bCs/>
                      <w:sz w:val="18"/>
                      <w:szCs w:val="21"/>
                      <w:bdr w:val="single" w:color="auto" w:sz="4" w:space="0"/>
                    </w:rPr>
                    <w:t>80</w:t>
                  </w:r>
                </w:p>
              </w:tc>
            </w:tr>
            <w:tr w14:paraId="48FD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shd w:val="clear" w:color="auto" w:fill="auto"/>
                  <w:vAlign w:val="center"/>
                </w:tcPr>
                <w:p w14:paraId="54FB3AB1">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小型</w:t>
                  </w:r>
                </w:p>
              </w:tc>
              <w:tc>
                <w:tcPr>
                  <w:tcW w:w="2232" w:type="dxa"/>
                  <w:shd w:val="clear" w:color="auto" w:fill="auto"/>
                  <w:vAlign w:val="center"/>
                </w:tcPr>
                <w:p w14:paraId="45076D6B">
                  <w:pPr>
                    <w:spacing w:line="240" w:lineRule="auto"/>
                    <w:jc w:val="center"/>
                    <w:rPr>
                      <w:rFonts w:ascii="宋体" w:hAnsi="宋体" w:eastAsia="宋体"/>
                      <w:bCs/>
                      <w:sz w:val="18"/>
                      <w:szCs w:val="21"/>
                      <w:bdr w:val="single" w:color="auto" w:sz="4" w:space="0"/>
                    </w:rPr>
                  </w:pPr>
                  <w:r>
                    <w:rPr>
                      <w:rFonts w:hint="eastAsia" w:ascii="宋体" w:hAnsi="宋体" w:eastAsia="宋体"/>
                      <w:bCs/>
                      <w:sz w:val="18"/>
                      <w:szCs w:val="21"/>
                      <w:bdr w:val="single" w:color="auto" w:sz="4" w:space="0"/>
                    </w:rPr>
                    <w:t>4.80x4.20</w:t>
                  </w:r>
                </w:p>
              </w:tc>
            </w:tr>
          </w:tbl>
          <w:p w14:paraId="4179B007">
            <w:pPr>
              <w:spacing w:before="156" w:beforeLines="50"/>
              <w:ind w:firstLine="480" w:firstLineChars="200"/>
            </w:pPr>
            <w:r>
              <w:rPr>
                <w:rFonts w:hint="eastAsia" w:ascii="宋体" w:hAnsi="宋体" w:eastAsia="宋体" w:cs="宋体"/>
                <w:bCs/>
              </w:rPr>
              <w:t>2 每2间～4间手术室宜单独设立1间刷手间，可设于清洁区走廊内。刷手间不应设门。洁净手术室的刷手间不得和普通手术室共用。每间手术室不得少于2个洗手水龙头，并应采用非手动开关。</w:t>
            </w:r>
          </w:p>
        </w:tc>
        <w:tc>
          <w:tcPr>
            <w:tcW w:w="4261" w:type="dxa"/>
          </w:tcPr>
          <w:p w14:paraId="7462D987">
            <w:pPr>
              <w:widowControl/>
              <w:rPr>
                <w:rFonts w:ascii="宋体" w:hAnsi="宋体" w:eastAsia="宋体"/>
                <w:bCs/>
              </w:rPr>
            </w:pPr>
            <w:r>
              <w:rPr>
                <w:rFonts w:hint="eastAsia" w:ascii="宋体" w:hAnsi="宋体" w:eastAsia="宋体"/>
                <w:bCs/>
              </w:rPr>
              <w:t>5.7.4 手术室平面尺寸应符合下列要求：</w:t>
            </w:r>
          </w:p>
          <w:p w14:paraId="0F3FF9D8">
            <w:pPr>
              <w:ind w:firstLine="480" w:firstLineChars="200"/>
              <w:rPr>
                <w:rFonts w:ascii="宋体" w:hAnsi="宋体" w:eastAsia="宋体" w:cs="宋体"/>
                <w:bCs/>
                <w:u w:val="single"/>
              </w:rPr>
            </w:pPr>
            <w:r>
              <w:rPr>
                <w:rFonts w:hint="eastAsia" w:ascii="宋体" w:hAnsi="宋体" w:eastAsia="宋体" w:cs="宋体"/>
                <w:bCs/>
              </w:rPr>
              <w:t>1 应根据需要选用手术室平面尺寸，平面尺寸</w:t>
            </w:r>
            <w:r>
              <w:rPr>
                <w:rFonts w:hint="eastAsia" w:ascii="宋体" w:hAnsi="宋体" w:eastAsia="宋体" w:cs="宋体"/>
                <w:bCs/>
                <w:u w:val="single"/>
              </w:rPr>
              <w:t>分为特大型</w:t>
            </w:r>
            <w:r>
              <w:rPr>
                <w:rFonts w:ascii="宋体" w:hAnsi="宋体" w:eastAsia="宋体" w:cs="宋体"/>
                <w:bCs/>
                <w:u w:val="single"/>
              </w:rPr>
              <w:t>、大型、中型</w:t>
            </w:r>
            <w:r>
              <w:rPr>
                <w:rFonts w:hint="eastAsia" w:ascii="宋体" w:hAnsi="宋体" w:eastAsia="宋体" w:cs="宋体"/>
                <w:bCs/>
                <w:u w:val="single"/>
              </w:rPr>
              <w:t>和</w:t>
            </w:r>
            <w:r>
              <w:rPr>
                <w:rFonts w:ascii="宋体" w:hAnsi="宋体" w:eastAsia="宋体" w:cs="宋体"/>
                <w:bCs/>
                <w:u w:val="single"/>
              </w:rPr>
              <w:t>小型四类，具体尺寸应</w:t>
            </w:r>
            <w:r>
              <w:rPr>
                <w:rFonts w:hint="eastAsia" w:ascii="宋体" w:hAnsi="宋体" w:eastAsia="宋体" w:cs="宋体"/>
                <w:bCs/>
                <w:u w:val="single"/>
              </w:rPr>
              <w:t>根据</w:t>
            </w:r>
            <w:r>
              <w:rPr>
                <w:rFonts w:ascii="宋体" w:hAnsi="宋体" w:eastAsia="宋体" w:cs="宋体"/>
                <w:bCs/>
                <w:u w:val="single"/>
              </w:rPr>
              <w:t>手术</w:t>
            </w:r>
            <w:r>
              <w:rPr>
                <w:rFonts w:hint="eastAsia" w:ascii="宋体" w:hAnsi="宋体" w:eastAsia="宋体" w:cs="宋体"/>
                <w:bCs/>
                <w:u w:val="single"/>
              </w:rPr>
              <w:t>类别</w:t>
            </w:r>
            <w:r>
              <w:rPr>
                <w:rFonts w:ascii="宋体" w:hAnsi="宋体" w:eastAsia="宋体" w:cs="宋体"/>
                <w:bCs/>
                <w:u w:val="single"/>
              </w:rPr>
              <w:t>及</w:t>
            </w:r>
            <w:r>
              <w:rPr>
                <w:rFonts w:hint="eastAsia" w:ascii="宋体" w:hAnsi="宋体" w:eastAsia="宋体" w:cs="宋体"/>
                <w:bCs/>
                <w:u w:val="single"/>
              </w:rPr>
              <w:t>内部</w:t>
            </w:r>
            <w:r>
              <w:rPr>
                <w:rFonts w:ascii="宋体" w:hAnsi="宋体" w:eastAsia="宋体" w:cs="宋体"/>
                <w:bCs/>
                <w:u w:val="single"/>
              </w:rPr>
              <w:t>设备要求</w:t>
            </w:r>
            <w:r>
              <w:rPr>
                <w:rFonts w:hint="eastAsia" w:ascii="宋体" w:hAnsi="宋体" w:eastAsia="宋体" w:cs="宋体"/>
                <w:bCs/>
                <w:u w:val="single"/>
              </w:rPr>
              <w:t>确定</w:t>
            </w:r>
            <w:r>
              <w:rPr>
                <w:rFonts w:ascii="宋体" w:hAnsi="宋体" w:eastAsia="宋体" w:cs="宋体"/>
                <w:bCs/>
                <w:u w:val="single"/>
              </w:rPr>
              <w:t>。</w:t>
            </w:r>
          </w:p>
          <w:p w14:paraId="2460993B">
            <w:pPr>
              <w:ind w:firstLine="480" w:firstLineChars="200"/>
              <w:rPr>
                <w:rFonts w:asciiTheme="minorEastAsia" w:hAnsiTheme="minorEastAsia"/>
                <w:bCs/>
                <w:u w:val="single"/>
              </w:rPr>
            </w:pPr>
            <w:r>
              <w:rPr>
                <w:rFonts w:hint="eastAsia" w:ascii="宋体" w:hAnsi="宋体" w:eastAsia="宋体" w:cs="宋体"/>
                <w:bCs/>
              </w:rPr>
              <w:t>2 每2间～4间手术室宜单独设立1间刷手间，可设于清洁区走廊内。刷手间不应设门。洁净手术室的刷手间不得和普通手术室共用。每间手术室不得少于2个洗手水龙头，并应采用非手动开关。</w:t>
            </w:r>
          </w:p>
        </w:tc>
      </w:tr>
      <w:tr w14:paraId="13952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CEA1834">
            <w:pPr>
              <w:widowControl/>
              <w:rPr>
                <w:rFonts w:ascii="宋体" w:hAnsi="宋体" w:eastAsia="宋体"/>
                <w:bCs/>
              </w:rPr>
            </w:pPr>
            <w:r>
              <w:rPr>
                <w:rFonts w:hint="eastAsia" w:ascii="宋体" w:hAnsi="宋体" w:eastAsia="宋体"/>
                <w:bCs/>
              </w:rPr>
              <w:t>5.7.6 手术室内基本设施设置应符合下列规定：</w:t>
            </w:r>
          </w:p>
          <w:p w14:paraId="2BAF5FCE">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bdr w:val="single" w:color="auto" w:sz="4" w:space="0"/>
              </w:rPr>
              <w:t>观片灯联数可按手术室大小类型配置，</w:t>
            </w:r>
            <w:r>
              <w:rPr>
                <w:rFonts w:hint="eastAsia" w:ascii="宋体" w:hAnsi="宋体" w:eastAsia="宋体" w:cs="宋体"/>
                <w:bCs/>
              </w:rPr>
              <w:t>观片灯应设置在手术医生对面墙上；</w:t>
            </w:r>
          </w:p>
          <w:p w14:paraId="01FB1E4F">
            <w:pPr>
              <w:ind w:firstLine="480" w:firstLineChars="200"/>
              <w:rPr>
                <w:rFonts w:ascii="宋体" w:hAnsi="宋体" w:eastAsia="宋体" w:cs="宋体"/>
                <w:bCs/>
              </w:rPr>
            </w:pPr>
            <w:r>
              <w:rPr>
                <w:rFonts w:hint="eastAsia" w:ascii="宋体" w:hAnsi="宋体" w:eastAsia="宋体" w:cs="宋体"/>
                <w:bCs/>
              </w:rPr>
              <w:t>2 手术台长向宜沿手术室长轴布置，台面中心点宜与手术室地面中心点相对应。患者头部不宜置于手术室门一侧；</w:t>
            </w:r>
          </w:p>
          <w:p w14:paraId="19C66038">
            <w:pPr>
              <w:ind w:firstLine="480" w:firstLineChars="200"/>
              <w:rPr>
                <w:rFonts w:ascii="宋体" w:hAnsi="宋体" w:eastAsia="宋体" w:cs="宋体"/>
                <w:bCs/>
              </w:rPr>
            </w:pPr>
            <w:r>
              <w:rPr>
                <w:rFonts w:hint="eastAsia" w:ascii="宋体" w:hAnsi="宋体" w:eastAsia="宋体" w:cs="宋体"/>
                <w:bCs/>
              </w:rPr>
              <w:t>3 净高宜为2.70m～3.00m；</w:t>
            </w:r>
          </w:p>
          <w:p w14:paraId="6A65FB91">
            <w:pPr>
              <w:ind w:firstLine="480" w:firstLineChars="200"/>
              <w:rPr>
                <w:rFonts w:ascii="宋体" w:hAnsi="宋体" w:eastAsia="宋体" w:cs="宋体"/>
                <w:bCs/>
              </w:rPr>
            </w:pPr>
            <w:r>
              <w:rPr>
                <w:rFonts w:hint="eastAsia" w:ascii="宋体" w:hAnsi="宋体" w:eastAsia="宋体" w:cs="宋体"/>
                <w:bCs/>
              </w:rPr>
              <w:t>4 设置医用气体终端装置；</w:t>
            </w:r>
          </w:p>
          <w:p w14:paraId="6570D57F">
            <w:pPr>
              <w:ind w:firstLine="480" w:firstLineChars="200"/>
              <w:rPr>
                <w:rFonts w:ascii="宋体" w:hAnsi="宋体" w:eastAsia="宋体" w:cs="宋体"/>
                <w:bCs/>
              </w:rPr>
            </w:pPr>
            <w:r>
              <w:rPr>
                <w:rFonts w:hint="eastAsia" w:ascii="宋体" w:hAnsi="宋体" w:eastAsia="宋体" w:cs="宋体"/>
                <w:bCs/>
              </w:rPr>
              <w:t>5 采取防静电措施；</w:t>
            </w:r>
          </w:p>
          <w:p w14:paraId="34BB5196">
            <w:pPr>
              <w:ind w:firstLine="480" w:firstLineChars="200"/>
              <w:rPr>
                <w:rFonts w:ascii="宋体" w:hAnsi="宋体" w:eastAsia="宋体" w:cs="宋体"/>
                <w:bCs/>
              </w:rPr>
            </w:pPr>
            <w:r>
              <w:rPr>
                <w:rFonts w:hint="eastAsia" w:ascii="宋体" w:hAnsi="宋体" w:eastAsia="宋体" w:cs="宋体"/>
                <w:bCs/>
              </w:rPr>
              <w:t>6 不应有明露管线；</w:t>
            </w:r>
          </w:p>
          <w:p w14:paraId="1135C947">
            <w:pPr>
              <w:ind w:firstLine="480" w:firstLineChars="200"/>
              <w:rPr>
                <w:rFonts w:ascii="宋体" w:hAnsi="宋体" w:eastAsia="宋体" w:cs="宋体"/>
                <w:bCs/>
              </w:rPr>
            </w:pPr>
            <w:r>
              <w:rPr>
                <w:rFonts w:hint="eastAsia" w:ascii="宋体" w:hAnsi="宋体" w:eastAsia="宋体" w:cs="宋体"/>
                <w:bCs/>
              </w:rPr>
              <w:t>7 吊顶及吊挂件应采取固定措施，吊顶上不应开设人孔；</w:t>
            </w:r>
          </w:p>
          <w:p w14:paraId="1957F206">
            <w:pPr>
              <w:ind w:firstLine="480" w:firstLineChars="200"/>
            </w:pPr>
            <w:r>
              <w:rPr>
                <w:rFonts w:hint="eastAsia" w:ascii="宋体" w:hAnsi="宋体" w:eastAsia="宋体" w:cs="宋体"/>
                <w:bCs/>
              </w:rPr>
              <w:t>8 手术室内不应设地漏。</w:t>
            </w:r>
          </w:p>
        </w:tc>
        <w:tc>
          <w:tcPr>
            <w:tcW w:w="4261" w:type="dxa"/>
          </w:tcPr>
          <w:p w14:paraId="5DEC9FC1">
            <w:pPr>
              <w:widowControl/>
              <w:rPr>
                <w:rFonts w:ascii="宋体" w:hAnsi="宋体" w:eastAsia="宋体"/>
                <w:bCs/>
              </w:rPr>
            </w:pPr>
            <w:r>
              <w:rPr>
                <w:rFonts w:hint="eastAsia" w:ascii="宋体" w:hAnsi="宋体" w:eastAsia="宋体"/>
                <w:bCs/>
              </w:rPr>
              <w:t>5.7.6 手术室内基本设施设置应符合下列规定：</w:t>
            </w:r>
          </w:p>
          <w:p w14:paraId="59B98534">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rPr>
              <w:t>观片灯</w:t>
            </w:r>
            <w:r>
              <w:rPr>
                <w:rFonts w:hint="eastAsia" w:ascii="宋体" w:hAnsi="宋体" w:eastAsia="宋体" w:cs="宋体"/>
                <w:bCs/>
                <w:u w:val="single"/>
              </w:rPr>
              <w:t>或显示屏</w:t>
            </w:r>
            <w:r>
              <w:rPr>
                <w:rFonts w:hint="eastAsia" w:ascii="宋体" w:hAnsi="宋体" w:eastAsia="宋体" w:cs="宋体"/>
                <w:bCs/>
              </w:rPr>
              <w:t>应设置在手术医生对面墙上；</w:t>
            </w:r>
            <w:r>
              <w:rPr>
                <w:rFonts w:hint="eastAsia" w:ascii="宋体" w:hAnsi="宋体" w:eastAsia="宋体" w:cs="宋体"/>
                <w:bCs/>
                <w:u w:val="single"/>
              </w:rPr>
              <w:t>宜</w:t>
            </w:r>
            <w:r>
              <w:rPr>
                <w:rFonts w:ascii="宋体" w:hAnsi="宋体" w:eastAsia="宋体" w:cs="宋体"/>
                <w:bCs/>
                <w:u w:val="single"/>
              </w:rPr>
              <w:t>配置护士工作站</w:t>
            </w:r>
            <w:r>
              <w:rPr>
                <w:rFonts w:hint="eastAsia" w:ascii="宋体" w:hAnsi="宋体" w:eastAsia="宋体" w:cs="宋体"/>
                <w:bCs/>
                <w:u w:val="single"/>
              </w:rPr>
              <w:t>、</w:t>
            </w:r>
            <w:r>
              <w:rPr>
                <w:rFonts w:ascii="宋体" w:hAnsi="宋体" w:eastAsia="宋体" w:cs="宋体"/>
                <w:bCs/>
                <w:u w:val="single"/>
              </w:rPr>
              <w:t>麻醉工作站和医生工作站</w:t>
            </w:r>
            <w:r>
              <w:rPr>
                <w:rFonts w:hint="eastAsia" w:ascii="宋体" w:hAnsi="宋体" w:eastAsia="宋体" w:cs="宋体"/>
                <w:bCs/>
                <w:u w:val="single"/>
              </w:rPr>
              <w:t>；</w:t>
            </w:r>
          </w:p>
          <w:p w14:paraId="3D3810C7">
            <w:pPr>
              <w:ind w:firstLine="480" w:firstLineChars="200"/>
              <w:rPr>
                <w:rFonts w:ascii="宋体" w:hAnsi="宋体" w:eastAsia="宋体" w:cs="宋体"/>
                <w:bCs/>
              </w:rPr>
            </w:pPr>
            <w:r>
              <w:rPr>
                <w:rFonts w:hint="eastAsia" w:ascii="宋体" w:hAnsi="宋体" w:eastAsia="宋体" w:cs="宋体"/>
                <w:bCs/>
              </w:rPr>
              <w:t>2 手术台长向宜沿手术室长轴布置，台面中心点宜与手术室地面中心点相对应。患者头部不宜置于手术室门一侧；</w:t>
            </w:r>
          </w:p>
          <w:p w14:paraId="2AE889EC">
            <w:pPr>
              <w:ind w:firstLine="480" w:firstLineChars="200"/>
              <w:rPr>
                <w:rFonts w:ascii="宋体" w:hAnsi="宋体" w:eastAsia="宋体" w:cs="宋体"/>
                <w:bCs/>
              </w:rPr>
            </w:pPr>
            <w:r>
              <w:rPr>
                <w:rFonts w:hint="eastAsia" w:ascii="宋体" w:hAnsi="宋体" w:eastAsia="宋体" w:cs="宋体"/>
                <w:bCs/>
              </w:rPr>
              <w:t>3 净高宜为2.70m～3.00m；</w:t>
            </w:r>
          </w:p>
          <w:p w14:paraId="35FFDE3A">
            <w:pPr>
              <w:ind w:firstLine="480" w:firstLineChars="200"/>
              <w:rPr>
                <w:rFonts w:ascii="宋体" w:hAnsi="宋体" w:eastAsia="宋体" w:cs="宋体"/>
                <w:bCs/>
              </w:rPr>
            </w:pPr>
            <w:r>
              <w:rPr>
                <w:rFonts w:hint="eastAsia" w:ascii="宋体" w:hAnsi="宋体" w:eastAsia="宋体" w:cs="宋体"/>
                <w:bCs/>
              </w:rPr>
              <w:t>4 设置医用气体终端装置；</w:t>
            </w:r>
          </w:p>
          <w:p w14:paraId="33FD3974">
            <w:pPr>
              <w:ind w:firstLine="480" w:firstLineChars="200"/>
              <w:rPr>
                <w:rFonts w:ascii="宋体" w:hAnsi="宋体" w:eastAsia="宋体" w:cs="宋体"/>
                <w:bCs/>
              </w:rPr>
            </w:pPr>
            <w:r>
              <w:rPr>
                <w:rFonts w:hint="eastAsia" w:ascii="宋体" w:hAnsi="宋体" w:eastAsia="宋体" w:cs="宋体"/>
                <w:bCs/>
              </w:rPr>
              <w:t>5 采取防静电措施；</w:t>
            </w:r>
          </w:p>
          <w:p w14:paraId="1491DD94">
            <w:pPr>
              <w:ind w:firstLine="480" w:firstLineChars="200"/>
              <w:rPr>
                <w:rFonts w:ascii="宋体" w:hAnsi="宋体" w:eastAsia="宋体" w:cs="宋体"/>
                <w:bCs/>
              </w:rPr>
            </w:pPr>
            <w:r>
              <w:rPr>
                <w:rFonts w:hint="eastAsia" w:ascii="宋体" w:hAnsi="宋体" w:eastAsia="宋体" w:cs="宋体"/>
                <w:bCs/>
              </w:rPr>
              <w:t>6 不应有明露管线；</w:t>
            </w:r>
          </w:p>
          <w:p w14:paraId="3AEE205A">
            <w:pPr>
              <w:ind w:firstLine="480" w:firstLineChars="200"/>
              <w:rPr>
                <w:rFonts w:ascii="宋体" w:hAnsi="宋体" w:eastAsia="宋体" w:cs="宋体"/>
                <w:bCs/>
              </w:rPr>
            </w:pPr>
            <w:r>
              <w:rPr>
                <w:rFonts w:hint="eastAsia" w:ascii="宋体" w:hAnsi="宋体" w:eastAsia="宋体" w:cs="宋体"/>
                <w:bCs/>
              </w:rPr>
              <w:t>7 吊顶及吊挂件应采取固定措施，吊顶上不应开设人孔；</w:t>
            </w:r>
          </w:p>
          <w:p w14:paraId="5C5BEF44">
            <w:pPr>
              <w:ind w:firstLine="480" w:firstLineChars="200"/>
              <w:rPr>
                <w:rFonts w:ascii="宋体" w:hAnsi="宋体" w:eastAsia="宋体" w:cs="宋体"/>
                <w:bCs/>
              </w:rPr>
            </w:pPr>
            <w:r>
              <w:rPr>
                <w:rFonts w:hint="eastAsia" w:ascii="宋体" w:hAnsi="宋体" w:eastAsia="宋体" w:cs="宋体"/>
                <w:bCs/>
              </w:rPr>
              <w:t>8 手术室内不应设地漏。</w:t>
            </w:r>
          </w:p>
          <w:p w14:paraId="4DF6E3FC">
            <w:pPr>
              <w:ind w:firstLine="480" w:firstLineChars="200"/>
              <w:rPr>
                <w:rFonts w:asciiTheme="minorEastAsia" w:hAnsiTheme="minorEastAsia"/>
                <w:bCs/>
                <w:u w:val="single"/>
              </w:rPr>
            </w:pPr>
            <w:r>
              <w:rPr>
                <w:rFonts w:ascii="宋体" w:hAnsi="宋体" w:eastAsia="宋体" w:cs="宋体"/>
                <w:bCs/>
                <w:u w:val="single"/>
              </w:rPr>
              <w:t>9</w:t>
            </w:r>
            <w:r>
              <w:rPr>
                <w:rFonts w:hint="eastAsia" w:ascii="宋体" w:hAnsi="宋体" w:eastAsia="宋体" w:cs="宋体"/>
                <w:bCs/>
                <w:u w:val="single"/>
              </w:rPr>
              <w:t xml:space="preserve"> 手术室区域的缓冲室面积不应小于3m²。</w:t>
            </w:r>
          </w:p>
        </w:tc>
      </w:tr>
      <w:tr w14:paraId="52EA7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B94B09B"/>
        </w:tc>
        <w:tc>
          <w:tcPr>
            <w:tcW w:w="4261" w:type="dxa"/>
          </w:tcPr>
          <w:p w14:paraId="724818C0">
            <w:pPr>
              <w:rPr>
                <w:rFonts w:asciiTheme="minorEastAsia" w:hAnsiTheme="minorEastAsia"/>
                <w:bCs/>
                <w:u w:val="single"/>
              </w:rPr>
            </w:pPr>
            <w:r>
              <w:rPr>
                <w:rFonts w:cs="宋体" w:asciiTheme="minorEastAsia" w:hAnsiTheme="minorEastAsia"/>
                <w:bCs/>
                <w:u w:val="single"/>
              </w:rPr>
              <w:t>5.7.7 手术部内的日间手术部宜单独成区</w:t>
            </w:r>
            <w:r>
              <w:rPr>
                <w:rFonts w:hint="eastAsia" w:cs="宋体" w:asciiTheme="minorEastAsia" w:hAnsiTheme="minorEastAsia"/>
                <w:bCs/>
                <w:u w:val="single"/>
              </w:rPr>
              <w:t>，可独立设置换床、术前</w:t>
            </w:r>
            <w:r>
              <w:rPr>
                <w:rFonts w:cs="宋体" w:asciiTheme="minorEastAsia" w:hAnsiTheme="minorEastAsia"/>
                <w:bCs/>
                <w:u w:val="single"/>
              </w:rPr>
              <w:t>准备、</w:t>
            </w:r>
            <w:r>
              <w:rPr>
                <w:rFonts w:hint="eastAsia" w:cs="宋体" w:asciiTheme="minorEastAsia" w:hAnsiTheme="minorEastAsia"/>
                <w:bCs/>
                <w:u w:val="single"/>
              </w:rPr>
              <w:t>术后</w:t>
            </w:r>
            <w:r>
              <w:rPr>
                <w:rFonts w:cs="宋体" w:asciiTheme="minorEastAsia" w:hAnsiTheme="minorEastAsia"/>
                <w:bCs/>
                <w:u w:val="single"/>
              </w:rPr>
              <w:t>恢复和</w:t>
            </w:r>
            <w:r>
              <w:rPr>
                <w:rFonts w:hint="eastAsia" w:cs="宋体" w:asciiTheme="minorEastAsia" w:hAnsiTheme="minorEastAsia"/>
                <w:bCs/>
                <w:u w:val="single"/>
              </w:rPr>
              <w:t>洁净品</w:t>
            </w:r>
            <w:r>
              <w:rPr>
                <w:rFonts w:cs="宋体" w:asciiTheme="minorEastAsia" w:hAnsiTheme="minorEastAsia"/>
                <w:bCs/>
                <w:u w:val="single"/>
              </w:rPr>
              <w:t>库等用房</w:t>
            </w:r>
            <w:r>
              <w:rPr>
                <w:rFonts w:hint="eastAsia" w:cs="宋体" w:asciiTheme="minorEastAsia" w:hAnsiTheme="minorEastAsia"/>
                <w:bCs/>
                <w:u w:val="single"/>
              </w:rPr>
              <w:t>。</w:t>
            </w:r>
          </w:p>
        </w:tc>
      </w:tr>
      <w:tr w14:paraId="1B98C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6D9CB9">
            <w:pPr>
              <w:jc w:val="center"/>
              <w:rPr>
                <w:rFonts w:asciiTheme="minorEastAsia" w:hAnsiTheme="minorEastAsia"/>
              </w:rPr>
            </w:pPr>
            <w:bookmarkStart w:id="11" w:name="_Toc85880728"/>
            <w:r>
              <w:rPr>
                <w:rFonts w:hint="eastAsia" w:asciiTheme="minorEastAsia" w:hAnsiTheme="minorEastAsia"/>
              </w:rPr>
              <w:t>5.8</w:t>
            </w:r>
            <w:r>
              <w:rPr>
                <w:rFonts w:asciiTheme="minorEastAsia" w:hAnsiTheme="minorEastAsia"/>
              </w:rPr>
              <w:t xml:space="preserve"> </w:t>
            </w:r>
            <w:r>
              <w:rPr>
                <w:rFonts w:hint="eastAsia" w:asciiTheme="minorEastAsia" w:hAnsiTheme="minorEastAsia"/>
              </w:rPr>
              <w:t>放射科用房</w:t>
            </w:r>
            <w:bookmarkEnd w:id="11"/>
          </w:p>
        </w:tc>
        <w:tc>
          <w:tcPr>
            <w:tcW w:w="4261" w:type="dxa"/>
          </w:tcPr>
          <w:p w14:paraId="132207FA">
            <w:pPr>
              <w:jc w:val="center"/>
              <w:rPr>
                <w:rFonts w:asciiTheme="minorEastAsia" w:hAnsiTheme="minorEastAsia"/>
              </w:rPr>
            </w:pPr>
            <w:r>
              <w:rPr>
                <w:rFonts w:hint="eastAsia" w:asciiTheme="minorEastAsia" w:hAnsiTheme="minorEastAsia"/>
              </w:rPr>
              <w:t>5.8</w:t>
            </w:r>
            <w:r>
              <w:rPr>
                <w:rFonts w:asciiTheme="minorEastAsia" w:hAnsiTheme="minorEastAsia"/>
              </w:rPr>
              <w:t xml:space="preserve"> </w:t>
            </w:r>
            <w:r>
              <w:rPr>
                <w:rFonts w:hint="eastAsia" w:asciiTheme="minorEastAsia" w:hAnsiTheme="minorEastAsia"/>
              </w:rPr>
              <w:t>放射科用房</w:t>
            </w:r>
          </w:p>
        </w:tc>
      </w:tr>
      <w:tr w14:paraId="2E3AF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E0DE3A8">
            <w:pPr>
              <w:rPr>
                <w:rFonts w:ascii="宋体" w:hAnsi="宋体" w:eastAsia="宋体"/>
                <w:bCs/>
              </w:rPr>
            </w:pPr>
            <w:r>
              <w:rPr>
                <w:rFonts w:hint="eastAsia" w:ascii="宋体" w:hAnsi="宋体" w:eastAsia="宋体"/>
                <w:bCs/>
              </w:rPr>
              <w:t>5.8.2 用房设置应符合下列要求：</w:t>
            </w:r>
          </w:p>
          <w:p w14:paraId="05E391CE">
            <w:pPr>
              <w:ind w:firstLine="480" w:firstLineChars="200"/>
              <w:rPr>
                <w:rFonts w:ascii="宋体" w:hAnsi="宋体" w:eastAsia="宋体" w:cs="宋体"/>
                <w:b/>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rPr>
              <w:t>应设放射设备机房（CT扫描室、</w:t>
            </w:r>
            <w:r>
              <w:rPr>
                <w:rFonts w:hint="eastAsia" w:ascii="宋体" w:hAnsi="宋体" w:eastAsia="宋体" w:cs="宋体"/>
                <w:bCs/>
                <w:bdr w:val="single" w:color="auto" w:sz="4" w:space="0"/>
              </w:rPr>
              <w:t>透视室、</w:t>
            </w:r>
            <w:r>
              <w:rPr>
                <w:rFonts w:hint="eastAsia" w:ascii="宋体" w:hAnsi="宋体" w:eastAsia="宋体" w:cs="宋体"/>
                <w:bCs/>
              </w:rPr>
              <w:t>摄片室）、控制、</w:t>
            </w:r>
            <w:r>
              <w:rPr>
                <w:rFonts w:hint="eastAsia" w:ascii="宋体" w:hAnsi="宋体" w:eastAsia="宋体" w:cs="宋体"/>
                <w:bCs/>
                <w:bdr w:val="single" w:color="auto" w:sz="4" w:space="0"/>
              </w:rPr>
              <w:t>暗室、观</w:t>
            </w:r>
            <w:r>
              <w:rPr>
                <w:rFonts w:hint="eastAsia" w:ascii="宋体" w:hAnsi="宋体" w:eastAsia="宋体" w:cs="宋体"/>
                <w:bCs/>
              </w:rPr>
              <w:t>片、登记</w:t>
            </w:r>
            <w:r>
              <w:rPr>
                <w:rFonts w:hint="eastAsia" w:ascii="宋体" w:hAnsi="宋体" w:eastAsia="宋体" w:cs="宋体"/>
                <w:bCs/>
                <w:bdr w:val="single" w:color="auto" w:sz="4" w:space="0"/>
              </w:rPr>
              <w:t>存片</w:t>
            </w:r>
            <w:r>
              <w:rPr>
                <w:rFonts w:hint="eastAsia" w:ascii="宋体" w:hAnsi="宋体" w:eastAsia="宋体" w:cs="宋体"/>
                <w:bCs/>
              </w:rPr>
              <w:t>和候诊等用房；</w:t>
            </w:r>
          </w:p>
          <w:p w14:paraId="065D4349">
            <w:pPr>
              <w:ind w:firstLine="480" w:firstLineChars="200"/>
              <w:rPr>
                <w:rFonts w:ascii="宋体" w:hAnsi="宋体" w:eastAsia="宋体" w:cs="宋体"/>
                <w:bCs/>
              </w:rPr>
            </w:pPr>
            <w:r>
              <w:rPr>
                <w:rFonts w:hint="eastAsia" w:ascii="宋体" w:hAnsi="宋体" w:eastAsia="宋体" w:cs="宋体"/>
                <w:bCs/>
              </w:rPr>
              <w:t>2 可设诊室、办公、患者更衣等用房；</w:t>
            </w:r>
          </w:p>
          <w:p w14:paraId="42EB0AE1">
            <w:pPr>
              <w:ind w:firstLine="480" w:firstLineChars="200"/>
            </w:pPr>
            <w:r>
              <w:rPr>
                <w:rFonts w:hint="eastAsia" w:ascii="宋体" w:hAnsi="宋体" w:eastAsia="宋体" w:cs="宋体"/>
                <w:bCs/>
              </w:rPr>
              <w:t>3 胃肠透视室应设调钡处和专用卫生间。</w:t>
            </w:r>
          </w:p>
        </w:tc>
        <w:tc>
          <w:tcPr>
            <w:tcW w:w="4261" w:type="dxa"/>
          </w:tcPr>
          <w:p w14:paraId="4E0D3EE4">
            <w:pPr>
              <w:rPr>
                <w:rFonts w:ascii="宋体" w:hAnsi="宋体" w:eastAsia="宋体"/>
                <w:bCs/>
              </w:rPr>
            </w:pPr>
            <w:r>
              <w:rPr>
                <w:rFonts w:hint="eastAsia" w:ascii="宋体" w:hAnsi="宋体" w:eastAsia="宋体"/>
                <w:bCs/>
              </w:rPr>
              <w:t>5.8.2 用房设置应符合下列要求：</w:t>
            </w:r>
          </w:p>
          <w:p w14:paraId="6D3292E8">
            <w:pPr>
              <w:ind w:firstLine="480" w:firstLineChars="200"/>
              <w:rPr>
                <w:rFonts w:ascii="宋体" w:hAnsi="宋体" w:eastAsia="宋体" w:cs="宋体"/>
                <w:b/>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rPr>
              <w:t>应设放射设备机房（CT扫描室、摄片室）、控制、</w:t>
            </w:r>
            <w:r>
              <w:rPr>
                <w:rFonts w:hint="eastAsia" w:ascii="宋体" w:hAnsi="宋体" w:eastAsia="宋体" w:cs="宋体"/>
                <w:bCs/>
                <w:u w:val="single"/>
              </w:rPr>
              <w:t>阅</w:t>
            </w:r>
            <w:r>
              <w:rPr>
                <w:rFonts w:hint="eastAsia" w:ascii="宋体" w:hAnsi="宋体" w:eastAsia="宋体" w:cs="宋体"/>
                <w:bCs/>
              </w:rPr>
              <w:t>片、</w:t>
            </w:r>
            <w:r>
              <w:rPr>
                <w:rFonts w:hint="eastAsia" w:ascii="宋体" w:hAnsi="宋体" w:eastAsia="宋体" w:cs="宋体"/>
                <w:bCs/>
                <w:u w:val="single"/>
              </w:rPr>
              <w:t>讨论、</w:t>
            </w:r>
            <w:r>
              <w:rPr>
                <w:rFonts w:hint="eastAsia" w:ascii="宋体" w:hAnsi="宋体" w:eastAsia="宋体" w:cs="宋体"/>
                <w:bCs/>
              </w:rPr>
              <w:t>登记和候诊等用房；</w:t>
            </w:r>
          </w:p>
          <w:p w14:paraId="483AC591">
            <w:pPr>
              <w:ind w:firstLine="480" w:firstLineChars="200"/>
              <w:rPr>
                <w:rFonts w:ascii="宋体" w:hAnsi="宋体" w:eastAsia="宋体" w:cs="宋体"/>
                <w:bCs/>
              </w:rPr>
            </w:pPr>
            <w:r>
              <w:rPr>
                <w:rFonts w:hint="eastAsia" w:ascii="宋体" w:hAnsi="宋体" w:eastAsia="宋体" w:cs="宋体"/>
                <w:bCs/>
              </w:rPr>
              <w:t>2 可设诊室、办公、患者更衣等用房；</w:t>
            </w:r>
          </w:p>
          <w:p w14:paraId="11BA2C1D">
            <w:pPr>
              <w:ind w:firstLine="480" w:firstLineChars="200"/>
            </w:pPr>
            <w:r>
              <w:rPr>
                <w:rFonts w:hint="eastAsia" w:ascii="宋体" w:hAnsi="宋体" w:eastAsia="宋体" w:cs="宋体"/>
                <w:bCs/>
              </w:rPr>
              <w:t>3 胃肠透视室应设调钡处和专用卫生间。</w:t>
            </w:r>
          </w:p>
        </w:tc>
      </w:tr>
      <w:tr w14:paraId="182F1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85EDBE5">
            <w:r>
              <w:rPr>
                <w:rFonts w:hint="eastAsia" w:ascii="宋体" w:hAnsi="宋体" w:eastAsia="宋体"/>
                <w:bCs/>
                <w:bdr w:val="single" w:color="auto" w:sz="4" w:space="0"/>
              </w:rPr>
              <w:t>5.8.3 机房内地沟深度、地面标高、层高、出入口、室内环境、机电设施等，应根据医疗设备的安装使用要求确定。</w:t>
            </w:r>
          </w:p>
        </w:tc>
        <w:tc>
          <w:tcPr>
            <w:tcW w:w="4261" w:type="dxa"/>
          </w:tcPr>
          <w:p w14:paraId="5A26A905">
            <w:r>
              <w:rPr>
                <w:rFonts w:hint="eastAsia" w:ascii="宋体" w:hAnsi="宋体" w:eastAsia="宋体"/>
              </w:rPr>
              <w:t>此条</w:t>
            </w:r>
            <w:r>
              <w:rPr>
                <w:rFonts w:ascii="宋体" w:hAnsi="宋体" w:eastAsia="宋体"/>
              </w:rPr>
              <w:t>删除。</w:t>
            </w:r>
          </w:p>
        </w:tc>
      </w:tr>
      <w:tr w14:paraId="732C6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11C9FF9">
            <w:r>
              <w:rPr>
                <w:rFonts w:hint="eastAsia" w:asciiTheme="minorEastAsia" w:hAnsiTheme="minorEastAsia"/>
                <w:bCs/>
              </w:rPr>
              <w:t>5.8.5 放射设备机房门的净宽不应小于1.20m，净高不</w:t>
            </w:r>
            <w:r>
              <w:rPr>
                <w:rFonts w:hint="eastAsia" w:asciiTheme="minorEastAsia" w:hAnsiTheme="minorEastAsia"/>
                <w:bCs/>
                <w:bdr w:val="single" w:color="auto" w:sz="4" w:space="0"/>
              </w:rPr>
              <w:t>应</w:t>
            </w:r>
            <w:r>
              <w:rPr>
                <w:rFonts w:hint="eastAsia" w:asciiTheme="minorEastAsia" w:hAnsiTheme="minorEastAsia"/>
                <w:bCs/>
              </w:rPr>
              <w:t>小于2.80m，计算机断层扫描（CT）室的门净宽不应小于1.20m，控制室门净宽宜为0.90m。</w:t>
            </w:r>
          </w:p>
        </w:tc>
        <w:tc>
          <w:tcPr>
            <w:tcW w:w="4261" w:type="dxa"/>
          </w:tcPr>
          <w:p w14:paraId="2231FFBB">
            <w:r>
              <w:rPr>
                <w:rFonts w:hint="eastAsia" w:asciiTheme="minorEastAsia" w:hAnsiTheme="minorEastAsia"/>
                <w:bCs/>
              </w:rPr>
              <w:t>5.8.5 放射设备机房门的净宽不应小于1.20m，净高不</w:t>
            </w:r>
            <w:r>
              <w:rPr>
                <w:rFonts w:hint="eastAsia" w:asciiTheme="minorEastAsia" w:hAnsiTheme="minorEastAsia"/>
                <w:bCs/>
                <w:u w:val="single"/>
              </w:rPr>
              <w:t>宜</w:t>
            </w:r>
            <w:r>
              <w:rPr>
                <w:rFonts w:hint="eastAsia" w:asciiTheme="minorEastAsia" w:hAnsiTheme="minorEastAsia"/>
                <w:bCs/>
              </w:rPr>
              <w:t>小于2.80m，计算机断层扫描（CT）室的门净宽不应小于1.20m，控制室门净宽宜为0.90m。</w:t>
            </w:r>
          </w:p>
        </w:tc>
      </w:tr>
      <w:tr w14:paraId="6FA27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A96BAA7">
            <w:r>
              <w:rPr>
                <w:rFonts w:hint="eastAsia" w:ascii="宋体" w:hAnsi="宋体" w:eastAsia="宋体"/>
                <w:bCs/>
              </w:rPr>
              <w:t>5.8.6 透视室与CT室的观察窗净宽不应小于0.80m，净高不应小于0.60m。照相室观察窗的净宽不应小于0.60m，净高不应小于0.40m。</w:t>
            </w:r>
          </w:p>
        </w:tc>
        <w:tc>
          <w:tcPr>
            <w:tcW w:w="4261" w:type="dxa"/>
          </w:tcPr>
          <w:p w14:paraId="5383500A">
            <w:r>
              <w:rPr>
                <w:rFonts w:hint="eastAsia" w:ascii="宋体" w:hAnsi="宋体" w:eastAsia="宋体"/>
                <w:bCs/>
              </w:rPr>
              <w:t xml:space="preserve">5.8.6 </w:t>
            </w:r>
            <w:r>
              <w:rPr>
                <w:rFonts w:hint="eastAsia" w:ascii="宋体" w:hAnsi="宋体" w:eastAsia="宋体"/>
                <w:bCs/>
                <w:u w:val="single"/>
              </w:rPr>
              <w:t>胃肠</w:t>
            </w:r>
            <w:r>
              <w:rPr>
                <w:rFonts w:hint="eastAsia" w:ascii="宋体" w:hAnsi="宋体" w:eastAsia="宋体"/>
                <w:bCs/>
              </w:rPr>
              <w:t>透视室与CT室的观察窗净宽不应小于0.80m，净高不应小于0.60m。照相室观察窗的净宽不应小于0.60m，净高不应小于0.40m。</w:t>
            </w:r>
          </w:p>
        </w:tc>
      </w:tr>
      <w:tr w14:paraId="09F6F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60B293D">
            <w:pPr>
              <w:jc w:val="center"/>
              <w:rPr>
                <w:rFonts w:asciiTheme="minorEastAsia" w:hAnsiTheme="minorEastAsia"/>
              </w:rPr>
            </w:pPr>
            <w:bookmarkStart w:id="12" w:name="_Toc85880729"/>
            <w:r>
              <w:rPr>
                <w:rFonts w:hint="eastAsia" w:asciiTheme="minorEastAsia" w:hAnsiTheme="minorEastAsia"/>
              </w:rPr>
              <w:t>5.9</w:t>
            </w:r>
            <w:r>
              <w:rPr>
                <w:rFonts w:asciiTheme="minorEastAsia" w:hAnsiTheme="minorEastAsia"/>
              </w:rPr>
              <w:t xml:space="preserve"> </w:t>
            </w:r>
            <w:r>
              <w:rPr>
                <w:rFonts w:hint="eastAsia" w:asciiTheme="minorEastAsia" w:hAnsiTheme="minorEastAsia"/>
              </w:rPr>
              <w:t>磁共振检查室</w:t>
            </w:r>
            <w:bookmarkEnd w:id="12"/>
            <w:r>
              <w:rPr>
                <w:rFonts w:hint="eastAsia" w:asciiTheme="minorEastAsia" w:hAnsiTheme="minorEastAsia"/>
              </w:rPr>
              <w:t>用房</w:t>
            </w:r>
          </w:p>
        </w:tc>
        <w:tc>
          <w:tcPr>
            <w:tcW w:w="4261" w:type="dxa"/>
          </w:tcPr>
          <w:p w14:paraId="3539EAF1">
            <w:pPr>
              <w:jc w:val="center"/>
              <w:rPr>
                <w:rFonts w:asciiTheme="minorEastAsia" w:hAnsiTheme="minorEastAsia"/>
              </w:rPr>
            </w:pPr>
            <w:r>
              <w:rPr>
                <w:rFonts w:hint="eastAsia" w:asciiTheme="minorEastAsia" w:hAnsiTheme="minorEastAsia"/>
              </w:rPr>
              <w:t>5.9</w:t>
            </w:r>
            <w:r>
              <w:rPr>
                <w:rFonts w:asciiTheme="minorEastAsia" w:hAnsiTheme="minorEastAsia"/>
              </w:rPr>
              <w:t xml:space="preserve"> </w:t>
            </w:r>
            <w:r>
              <w:rPr>
                <w:rFonts w:hint="eastAsia" w:asciiTheme="minorEastAsia" w:hAnsiTheme="minorEastAsia"/>
              </w:rPr>
              <w:t>磁共振检查室用房</w:t>
            </w:r>
          </w:p>
        </w:tc>
      </w:tr>
      <w:tr w14:paraId="2A699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06A048">
            <w:pPr>
              <w:rPr>
                <w:rFonts w:ascii="宋体" w:hAnsi="宋体" w:eastAsia="宋体"/>
                <w:bCs/>
              </w:rPr>
            </w:pPr>
            <w:r>
              <w:rPr>
                <w:rFonts w:hint="eastAsia" w:ascii="宋体" w:hAnsi="宋体" w:eastAsia="宋体"/>
                <w:bCs/>
              </w:rPr>
              <w:t>5.9.1 磁共振检查室位置设置应符合下列要求：</w:t>
            </w:r>
          </w:p>
          <w:p w14:paraId="103FE019">
            <w:pPr>
              <w:ind w:firstLine="480" w:firstLineChars="200"/>
              <w:rPr>
                <w:rFonts w:ascii="宋体" w:hAnsi="宋体" w:eastAsia="宋体" w:cs="宋体"/>
                <w:bCs/>
              </w:rPr>
            </w:pPr>
            <w:r>
              <w:rPr>
                <w:rFonts w:hint="eastAsia" w:ascii="宋体" w:hAnsi="宋体" w:eastAsia="宋体" w:cs="宋体"/>
                <w:bCs/>
              </w:rPr>
              <w:t>1 宜自成一区或与放射科组成一区，宜与门诊部、急诊部、住院部邻近，并应设置在底层；</w:t>
            </w:r>
          </w:p>
          <w:p w14:paraId="7D84CECF">
            <w:pPr>
              <w:ind w:firstLine="480" w:firstLineChars="200"/>
              <w:rPr>
                <w:rFonts w:ascii="宋体" w:hAnsi="宋体" w:eastAsia="宋体" w:cs="宋体"/>
                <w:bCs/>
              </w:rPr>
            </w:pPr>
            <w:r>
              <w:rPr>
                <w:rFonts w:hint="eastAsia" w:ascii="宋体" w:hAnsi="宋体" w:eastAsia="宋体" w:cs="宋体"/>
                <w:bCs/>
              </w:rPr>
              <w:t>2 应避开电磁波和移动磁场的干扰</w:t>
            </w:r>
            <w:r>
              <w:rPr>
                <w:rFonts w:hint="eastAsia" w:asciiTheme="minorEastAsia" w:hAnsiTheme="minorEastAsia" w:cstheme="minorBidi"/>
                <w:bCs/>
                <w:bdr w:val="single" w:color="auto" w:sz="4" w:space="0"/>
              </w:rPr>
              <w:t>。</w:t>
            </w:r>
          </w:p>
          <w:p w14:paraId="6AFED016">
            <w:pPr>
              <w:ind w:firstLine="480" w:firstLineChars="200"/>
            </w:pPr>
            <w:r>
              <w:rPr>
                <w:rFonts w:ascii="宋体" w:hAnsi="宋体" w:eastAsia="宋体" w:cs="宋体"/>
                <w:bCs/>
                <w:u w:val="single"/>
              </w:rPr>
              <w:t xml:space="preserve">3 </w:t>
            </w:r>
            <w:r>
              <w:rPr>
                <w:rFonts w:hint="eastAsia" w:ascii="宋体" w:hAnsi="宋体" w:eastAsia="宋体" w:cs="宋体"/>
                <w:bCs/>
                <w:u w:val="single"/>
              </w:rPr>
              <w:t>宜在入口处设置金属探测仪。</w:t>
            </w:r>
          </w:p>
        </w:tc>
        <w:tc>
          <w:tcPr>
            <w:tcW w:w="4261" w:type="dxa"/>
          </w:tcPr>
          <w:p w14:paraId="4C81C39E">
            <w:pPr>
              <w:rPr>
                <w:rFonts w:ascii="宋体" w:hAnsi="宋体" w:eastAsia="宋体"/>
                <w:bCs/>
              </w:rPr>
            </w:pPr>
            <w:r>
              <w:rPr>
                <w:rFonts w:hint="eastAsia" w:ascii="宋体" w:hAnsi="宋体" w:eastAsia="宋体"/>
                <w:bCs/>
              </w:rPr>
              <w:t>5.9.1 磁共振检查室位置设置应符合下列要求：</w:t>
            </w:r>
          </w:p>
          <w:p w14:paraId="293A6655">
            <w:pPr>
              <w:ind w:firstLine="480" w:firstLineChars="200"/>
              <w:rPr>
                <w:rFonts w:ascii="宋体" w:hAnsi="宋体" w:eastAsia="宋体" w:cs="宋体"/>
                <w:bCs/>
              </w:rPr>
            </w:pPr>
            <w:r>
              <w:rPr>
                <w:rFonts w:hint="eastAsia" w:ascii="宋体" w:hAnsi="宋体" w:eastAsia="宋体" w:cs="宋体"/>
                <w:bCs/>
              </w:rPr>
              <w:t>1 宜自成一区或与放射科组成一区，宜与门诊部、急诊部、住院部邻近，并应设置在底层；</w:t>
            </w:r>
          </w:p>
          <w:p w14:paraId="40748DDD">
            <w:pPr>
              <w:ind w:firstLine="480" w:firstLineChars="200"/>
              <w:rPr>
                <w:rFonts w:cs="宋体" w:asciiTheme="minorEastAsia" w:hAnsiTheme="minorEastAsia"/>
                <w:bCs/>
                <w:u w:val="single"/>
              </w:rPr>
            </w:pPr>
            <w:r>
              <w:rPr>
                <w:rFonts w:hint="eastAsia" w:ascii="宋体" w:hAnsi="宋体" w:eastAsia="宋体" w:cs="宋体"/>
                <w:bCs/>
              </w:rPr>
              <w:t>2 应避开电磁波和移动磁场的干扰</w:t>
            </w:r>
            <w:r>
              <w:rPr>
                <w:rFonts w:hint="eastAsia" w:cs="宋体" w:asciiTheme="minorEastAsia" w:hAnsiTheme="minorEastAsia"/>
                <w:bCs/>
                <w:u w:val="single"/>
              </w:rPr>
              <w:t>；</w:t>
            </w:r>
          </w:p>
          <w:p w14:paraId="52733FF6">
            <w:pPr>
              <w:ind w:firstLine="480" w:firstLineChars="200"/>
            </w:pPr>
            <w:r>
              <w:rPr>
                <w:rFonts w:ascii="宋体" w:hAnsi="宋体" w:eastAsia="宋体" w:cs="宋体"/>
                <w:bCs/>
                <w:u w:val="single"/>
              </w:rPr>
              <w:t xml:space="preserve">3 </w:t>
            </w:r>
            <w:r>
              <w:rPr>
                <w:rFonts w:hint="eastAsia" w:ascii="宋体" w:hAnsi="宋体" w:eastAsia="宋体" w:cs="宋体"/>
                <w:bCs/>
                <w:u w:val="single"/>
              </w:rPr>
              <w:t>宜在入口处设置金属探测仪。</w:t>
            </w:r>
          </w:p>
        </w:tc>
      </w:tr>
      <w:tr w14:paraId="1D89D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EE0A55A"/>
        </w:tc>
        <w:tc>
          <w:tcPr>
            <w:tcW w:w="4261" w:type="dxa"/>
          </w:tcPr>
          <w:p w14:paraId="7B34395F">
            <w:r>
              <w:rPr>
                <w:rFonts w:asciiTheme="minorEastAsia" w:hAnsiTheme="minorEastAsia"/>
                <w:bCs/>
                <w:u w:val="single"/>
              </w:rPr>
              <w:t xml:space="preserve">5.9.3A </w:t>
            </w:r>
            <w:r>
              <w:rPr>
                <w:rFonts w:hint="eastAsia" w:asciiTheme="minorEastAsia" w:hAnsiTheme="minorEastAsia"/>
                <w:bCs/>
                <w:u w:val="single"/>
              </w:rPr>
              <w:t>扫描室尺寸宜为</w:t>
            </w:r>
            <w:r>
              <w:rPr>
                <w:rFonts w:asciiTheme="minorEastAsia" w:hAnsiTheme="minorEastAsia"/>
                <w:bCs/>
                <w:u w:val="single"/>
              </w:rPr>
              <w:t>8m×5.5m；配备的设备间宜为4m×4m。</w:t>
            </w:r>
          </w:p>
        </w:tc>
      </w:tr>
      <w:tr w14:paraId="55F23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CEBAF2E">
            <w:pPr>
              <w:jc w:val="center"/>
              <w:rPr>
                <w:rFonts w:asciiTheme="minorEastAsia" w:hAnsiTheme="minorEastAsia"/>
              </w:rPr>
            </w:pPr>
            <w:bookmarkStart w:id="13" w:name="_Toc85880730"/>
            <w:r>
              <w:rPr>
                <w:rFonts w:hint="eastAsia" w:asciiTheme="minorEastAsia" w:hAnsiTheme="minorEastAsia"/>
              </w:rPr>
              <w:t>5.10</w:t>
            </w:r>
            <w:r>
              <w:rPr>
                <w:rFonts w:asciiTheme="minorEastAsia" w:hAnsiTheme="minorEastAsia"/>
              </w:rPr>
              <w:t xml:space="preserve"> </w:t>
            </w:r>
            <w:r>
              <w:rPr>
                <w:rFonts w:hint="eastAsia" w:asciiTheme="minorEastAsia" w:hAnsiTheme="minorEastAsia"/>
              </w:rPr>
              <w:t>放射治疗科用房</w:t>
            </w:r>
            <w:bookmarkEnd w:id="13"/>
          </w:p>
        </w:tc>
        <w:tc>
          <w:tcPr>
            <w:tcW w:w="4261" w:type="dxa"/>
          </w:tcPr>
          <w:p w14:paraId="08AC52D4">
            <w:pPr>
              <w:jc w:val="center"/>
              <w:rPr>
                <w:rFonts w:asciiTheme="minorEastAsia" w:hAnsiTheme="minorEastAsia"/>
              </w:rPr>
            </w:pPr>
            <w:r>
              <w:rPr>
                <w:rFonts w:hint="eastAsia" w:asciiTheme="minorEastAsia" w:hAnsiTheme="minorEastAsia"/>
              </w:rPr>
              <w:t>5.10</w:t>
            </w:r>
            <w:r>
              <w:rPr>
                <w:rFonts w:asciiTheme="minorEastAsia" w:hAnsiTheme="minorEastAsia"/>
              </w:rPr>
              <w:t xml:space="preserve"> </w:t>
            </w:r>
            <w:r>
              <w:rPr>
                <w:rFonts w:hint="eastAsia" w:asciiTheme="minorEastAsia" w:hAnsiTheme="minorEastAsia"/>
              </w:rPr>
              <w:t>放射治疗科用房</w:t>
            </w:r>
          </w:p>
        </w:tc>
      </w:tr>
      <w:tr w14:paraId="526F0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935B5B9">
            <w:pPr>
              <w:rPr>
                <w:rFonts w:ascii="宋体" w:hAnsi="宋体" w:eastAsia="宋体"/>
                <w:bCs/>
              </w:rPr>
            </w:pPr>
            <w:r>
              <w:rPr>
                <w:rFonts w:hint="eastAsia" w:ascii="宋体" w:hAnsi="宋体" w:eastAsia="宋体"/>
                <w:bCs/>
              </w:rPr>
              <w:t>5.10.2 用房设置应符合下列要求：</w:t>
            </w:r>
          </w:p>
          <w:p w14:paraId="2C894ECD">
            <w:pPr>
              <w:ind w:firstLine="480" w:firstLineChars="200"/>
              <w:rPr>
                <w:rFonts w:ascii="宋体" w:hAnsi="宋体" w:eastAsia="宋体" w:cs="宋体"/>
                <w:bCs/>
              </w:rPr>
            </w:pPr>
            <w:r>
              <w:rPr>
                <w:rFonts w:hint="eastAsia" w:ascii="宋体" w:hAnsi="宋体" w:eastAsia="宋体" w:cs="宋体"/>
                <w:bCs/>
              </w:rPr>
              <w:t xml:space="preserve">1 </w:t>
            </w:r>
            <w:r>
              <w:rPr>
                <w:rFonts w:hint="eastAsia" w:ascii="宋体" w:hAnsi="宋体" w:eastAsia="宋体" w:cs="宋体"/>
                <w:bCs/>
                <w:bdr w:val="single" w:color="auto" w:sz="4" w:space="0"/>
              </w:rPr>
              <w:t>应</w:t>
            </w:r>
            <w:r>
              <w:rPr>
                <w:rFonts w:hint="eastAsia" w:ascii="宋体" w:hAnsi="宋体" w:eastAsia="宋体" w:cs="宋体"/>
                <w:bCs/>
              </w:rPr>
              <w:t>设治疗机房（后装机、钴60、直线加速器、γ刀、深部X线治疗等）、控制、治疗计划系统、模拟定位、物理计划、模具间、候诊、护理、诊室、医生办公、卫生间、更衣（医患分开设）、污洗和固体废弃物存放等用房；</w:t>
            </w:r>
          </w:p>
          <w:p w14:paraId="2AA0EB16">
            <w:pPr>
              <w:ind w:firstLine="480" w:firstLineChars="200"/>
            </w:pPr>
            <w:r>
              <w:rPr>
                <w:rFonts w:hint="eastAsia" w:ascii="宋体" w:hAnsi="宋体" w:eastAsia="宋体" w:cs="宋体"/>
                <w:bCs/>
              </w:rPr>
              <w:t>2 可设会诊和值班等用房。</w:t>
            </w:r>
          </w:p>
        </w:tc>
        <w:tc>
          <w:tcPr>
            <w:tcW w:w="4261" w:type="dxa"/>
          </w:tcPr>
          <w:p w14:paraId="7A6771F2">
            <w:pPr>
              <w:rPr>
                <w:rFonts w:ascii="宋体" w:hAnsi="宋体" w:eastAsia="宋体"/>
                <w:bCs/>
              </w:rPr>
            </w:pPr>
            <w:r>
              <w:rPr>
                <w:rFonts w:hint="eastAsia" w:ascii="宋体" w:hAnsi="宋体" w:eastAsia="宋体"/>
                <w:bCs/>
              </w:rPr>
              <w:t>5.10.2 用房设置应符合下列要求：</w:t>
            </w:r>
          </w:p>
          <w:p w14:paraId="6D8B51A3">
            <w:pPr>
              <w:ind w:firstLine="480" w:firstLineChars="200"/>
              <w:rPr>
                <w:rFonts w:ascii="宋体" w:hAnsi="宋体" w:eastAsia="宋体"/>
                <w:bCs/>
                <w:u w:val="single"/>
              </w:rPr>
            </w:pPr>
            <w:r>
              <w:rPr>
                <w:rFonts w:hint="eastAsia" w:ascii="宋体" w:hAnsi="宋体" w:eastAsia="宋体" w:cs="宋体"/>
                <w:bCs/>
              </w:rPr>
              <w:t xml:space="preserve">1 </w:t>
            </w:r>
            <w:r>
              <w:rPr>
                <w:rFonts w:hint="eastAsia" w:ascii="宋体" w:hAnsi="宋体" w:eastAsia="宋体" w:cs="宋体"/>
                <w:bCs/>
                <w:u w:val="single"/>
              </w:rPr>
              <w:t>可</w:t>
            </w:r>
            <w:r>
              <w:rPr>
                <w:rFonts w:hint="eastAsia" w:ascii="宋体" w:hAnsi="宋体" w:eastAsia="宋体" w:cs="宋体"/>
                <w:bCs/>
              </w:rPr>
              <w:t>设治疗机房（后装机、钴60、直线加速器、γ刀、深部X线治疗</w:t>
            </w:r>
            <w:r>
              <w:rPr>
                <w:rFonts w:hint="eastAsia" w:ascii="宋体" w:hAnsi="宋体" w:eastAsia="宋体" w:cs="宋体"/>
                <w:bCs/>
                <w:u w:val="single"/>
              </w:rPr>
              <w:t>、质子、重离子</w:t>
            </w:r>
            <w:r>
              <w:rPr>
                <w:rFonts w:hint="eastAsia" w:ascii="宋体" w:hAnsi="宋体" w:eastAsia="宋体" w:cs="宋体"/>
                <w:bCs/>
              </w:rPr>
              <w:t>等）</w:t>
            </w:r>
            <w:r>
              <w:rPr>
                <w:rFonts w:hint="eastAsia" w:ascii="宋体" w:hAnsi="宋体" w:eastAsia="宋体"/>
                <w:bCs/>
                <w:u w:val="single"/>
              </w:rPr>
              <w:t>及配套机电用房</w:t>
            </w:r>
            <w:r>
              <w:rPr>
                <w:rFonts w:hint="eastAsia" w:ascii="宋体" w:hAnsi="宋体" w:eastAsia="宋体" w:cs="宋体"/>
                <w:bCs/>
              </w:rPr>
              <w:t>、控制、治疗计划系统、模拟定位、物理计划、模具间、候诊、护理、诊室、医生办公、卫生间、更衣（医患分开设）、污洗和固体废弃物存放等用房；</w:t>
            </w:r>
            <w:r>
              <w:rPr>
                <w:rFonts w:hint="eastAsia" w:ascii="宋体" w:hAnsi="宋体" w:eastAsia="宋体"/>
                <w:bCs/>
                <w:u w:val="single"/>
              </w:rPr>
              <w:t>质子、重离子治疗宜设置独立的儿童麻醉恢复区。</w:t>
            </w:r>
          </w:p>
          <w:p w14:paraId="14C7DCD1">
            <w:pPr>
              <w:ind w:firstLine="480" w:firstLineChars="200"/>
            </w:pPr>
            <w:r>
              <w:rPr>
                <w:rFonts w:hint="eastAsia" w:ascii="宋体" w:hAnsi="宋体" w:eastAsia="宋体" w:cs="宋体"/>
                <w:bCs/>
              </w:rPr>
              <w:t>2 可设会诊和值班等用房。</w:t>
            </w:r>
          </w:p>
        </w:tc>
      </w:tr>
      <w:tr w14:paraId="62A5E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8A52643">
            <w:r>
              <w:rPr>
                <w:rFonts w:hint="eastAsia" w:asciiTheme="minorEastAsia" w:hAnsiTheme="minorEastAsia"/>
                <w:bCs/>
              </w:rPr>
              <w:t>5.10.4 钴60治疗室、加速器治疗室、γ刀治疗室及后装机治疗室的出入口应设迷路，且有用线束照射方向应尽可能避免照射在迷路墙上。防护门和迷路的净宽均应满足设备要求。</w:t>
            </w:r>
          </w:p>
        </w:tc>
        <w:tc>
          <w:tcPr>
            <w:tcW w:w="4261" w:type="dxa"/>
          </w:tcPr>
          <w:p w14:paraId="42B98812">
            <w:r>
              <w:rPr>
                <w:rFonts w:hint="eastAsia" w:asciiTheme="minorEastAsia" w:hAnsiTheme="minorEastAsia"/>
                <w:bCs/>
              </w:rPr>
              <w:t>5.10.4 钴60治疗室、加速器治疗室、γ刀治疗室及后装机治疗室</w:t>
            </w:r>
            <w:r>
              <w:rPr>
                <w:rFonts w:hint="eastAsia" w:cs="宋体" w:asciiTheme="minorEastAsia" w:hAnsiTheme="minorEastAsia"/>
                <w:bCs/>
                <w:u w:val="single"/>
              </w:rPr>
              <w:t>、质子、重离子的加速器室和治疗室</w:t>
            </w:r>
            <w:r>
              <w:rPr>
                <w:rFonts w:hint="eastAsia" w:asciiTheme="minorEastAsia" w:hAnsiTheme="minorEastAsia"/>
                <w:bCs/>
              </w:rPr>
              <w:t>的出入口应设迷路，且有用线束照射方向应尽可能避免照射在迷路墙上。防护门和迷路的净宽均应满足设备要求。</w:t>
            </w:r>
          </w:p>
        </w:tc>
      </w:tr>
      <w:tr w14:paraId="70467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1EAF271">
            <w:r>
              <w:rPr>
                <w:rFonts w:hint="eastAsia" w:asciiTheme="minorEastAsia" w:hAnsiTheme="minorEastAsia"/>
                <w:bCs/>
              </w:rPr>
              <w:t>5.10.5 防护应按国家现行有关</w:t>
            </w:r>
            <w:r>
              <w:rPr>
                <w:rFonts w:hint="eastAsia" w:asciiTheme="minorEastAsia" w:hAnsiTheme="minorEastAsia"/>
                <w:bCs/>
                <w:bdr w:val="single" w:color="auto" w:sz="4" w:space="0"/>
              </w:rPr>
              <w:t>后装γ源近距离卫生防护标准、γ远距治疗室设计防护要求、医用电子加速器卫生防护标准、医用X射线治疗卫生防护标准等</w:t>
            </w:r>
            <w:r>
              <w:rPr>
                <w:rFonts w:hint="eastAsia" w:asciiTheme="minorEastAsia" w:hAnsiTheme="minorEastAsia"/>
                <w:bCs/>
              </w:rPr>
              <w:t>的规定设计。</w:t>
            </w:r>
          </w:p>
        </w:tc>
        <w:tc>
          <w:tcPr>
            <w:tcW w:w="4261" w:type="dxa"/>
          </w:tcPr>
          <w:p w14:paraId="7D63948A">
            <w:r>
              <w:rPr>
                <w:rFonts w:hint="eastAsia" w:asciiTheme="minorEastAsia" w:hAnsiTheme="minorEastAsia"/>
                <w:bCs/>
              </w:rPr>
              <w:t>5.10.5 防护应按国家现行有关</w:t>
            </w:r>
            <w:r>
              <w:rPr>
                <w:rFonts w:hint="eastAsia" w:asciiTheme="minorEastAsia" w:hAnsiTheme="minorEastAsia"/>
                <w:bCs/>
                <w:u w:val="single"/>
              </w:rPr>
              <w:t>放射</w:t>
            </w:r>
            <w:r>
              <w:rPr>
                <w:rFonts w:asciiTheme="minorEastAsia" w:hAnsiTheme="minorEastAsia"/>
                <w:bCs/>
                <w:u w:val="single"/>
              </w:rPr>
              <w:t>治疗用房卫生防护标准</w:t>
            </w:r>
            <w:r>
              <w:rPr>
                <w:rFonts w:hint="eastAsia" w:asciiTheme="minorEastAsia" w:hAnsiTheme="minorEastAsia"/>
                <w:bCs/>
              </w:rPr>
              <w:t>的规定设计。</w:t>
            </w:r>
          </w:p>
        </w:tc>
      </w:tr>
      <w:tr w14:paraId="3C07A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AE4D03F">
            <w:pPr>
              <w:jc w:val="center"/>
              <w:rPr>
                <w:rFonts w:asciiTheme="minorEastAsia" w:hAnsiTheme="minorEastAsia"/>
              </w:rPr>
            </w:pPr>
            <w:bookmarkStart w:id="14" w:name="_Toc85880731"/>
            <w:r>
              <w:rPr>
                <w:rFonts w:hint="eastAsia" w:asciiTheme="minorEastAsia" w:hAnsiTheme="minorEastAsia"/>
              </w:rPr>
              <w:t>5.11 核医学科用房</w:t>
            </w:r>
            <w:bookmarkEnd w:id="14"/>
          </w:p>
        </w:tc>
        <w:tc>
          <w:tcPr>
            <w:tcW w:w="4261" w:type="dxa"/>
          </w:tcPr>
          <w:p w14:paraId="1715D7E2">
            <w:pPr>
              <w:jc w:val="center"/>
              <w:rPr>
                <w:rFonts w:asciiTheme="minorEastAsia" w:hAnsiTheme="minorEastAsia"/>
              </w:rPr>
            </w:pPr>
            <w:r>
              <w:rPr>
                <w:rFonts w:hint="eastAsia" w:asciiTheme="minorEastAsia" w:hAnsiTheme="minorEastAsia"/>
              </w:rPr>
              <w:t>5.11 核医学科用房</w:t>
            </w:r>
          </w:p>
        </w:tc>
      </w:tr>
      <w:tr w14:paraId="2CFB3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CCAE312">
            <w:pPr>
              <w:rPr>
                <w:rFonts w:ascii="宋体" w:hAnsi="宋体" w:eastAsia="宋体"/>
                <w:bCs/>
              </w:rPr>
            </w:pPr>
            <w:r>
              <w:rPr>
                <w:rFonts w:hint="eastAsia" w:ascii="宋体" w:hAnsi="宋体" w:eastAsia="宋体"/>
                <w:bCs/>
              </w:rPr>
              <w:t>5.11.1 核医学科位置与平面布置应符合下列要求：</w:t>
            </w:r>
          </w:p>
          <w:p w14:paraId="5E75E987">
            <w:pPr>
              <w:ind w:firstLine="480" w:firstLineChars="200"/>
              <w:rPr>
                <w:rFonts w:ascii="宋体" w:hAnsi="宋体" w:eastAsia="宋体" w:cs="宋体"/>
                <w:bCs/>
              </w:rPr>
            </w:pPr>
            <w:r>
              <w:rPr>
                <w:rFonts w:hint="eastAsia" w:ascii="宋体" w:hAnsi="宋体" w:eastAsia="宋体" w:cs="宋体"/>
                <w:bCs/>
              </w:rPr>
              <w:t>1 应自成一区，并应符合国家现行有关防护标准的规定。放射源应设单独出入口。</w:t>
            </w:r>
          </w:p>
          <w:p w14:paraId="6C8CBE86">
            <w:pPr>
              <w:ind w:firstLine="480" w:firstLineChars="200"/>
              <w:rPr>
                <w:rFonts w:ascii="宋体" w:hAnsi="宋体" w:eastAsia="宋体" w:cs="宋体"/>
                <w:bCs/>
              </w:rPr>
            </w:pPr>
            <w:r>
              <w:rPr>
                <w:rFonts w:hint="eastAsia" w:ascii="宋体" w:hAnsi="宋体" w:eastAsia="宋体" w:cs="宋体"/>
                <w:bCs/>
              </w:rPr>
              <w:t>2 平面布置应按“控制区、监督区</w:t>
            </w:r>
            <w:r>
              <w:rPr>
                <w:rFonts w:hint="eastAsia" w:ascii="宋体" w:hAnsi="宋体" w:eastAsia="宋体" w:cs="宋体"/>
                <w:bCs/>
                <w:bdr w:val="single" w:color="auto" w:sz="4" w:space="0"/>
              </w:rPr>
              <w:t>、非限制区</w:t>
            </w:r>
            <w:r>
              <w:rPr>
                <w:rFonts w:hint="eastAsia" w:ascii="宋体" w:hAnsi="宋体" w:eastAsia="宋体" w:cs="宋体"/>
                <w:bCs/>
              </w:rPr>
              <w:t>”的顺序分区布置。</w:t>
            </w:r>
          </w:p>
          <w:p w14:paraId="6E761CC1">
            <w:pPr>
              <w:ind w:firstLine="480" w:firstLineChars="200"/>
              <w:rPr>
                <w:rFonts w:ascii="宋体" w:hAnsi="宋体" w:eastAsia="宋体" w:cs="宋体"/>
                <w:bCs/>
              </w:rPr>
            </w:pPr>
            <w:r>
              <w:rPr>
                <w:rFonts w:hint="eastAsia" w:ascii="宋体" w:hAnsi="宋体" w:eastAsia="宋体" w:cs="宋体"/>
                <w:bCs/>
              </w:rPr>
              <w:t>3 控制区应设于尽端，并应有贮运放射性物质及处理放射性废弃物的设施。</w:t>
            </w:r>
          </w:p>
          <w:p w14:paraId="4439FE8A">
            <w:pPr>
              <w:ind w:firstLine="480" w:firstLineChars="200"/>
            </w:pPr>
            <w:r>
              <w:rPr>
                <w:rFonts w:hint="eastAsia" w:ascii="宋体" w:hAnsi="宋体" w:eastAsia="宋体" w:cs="宋体"/>
                <w:bCs/>
              </w:rPr>
              <w:t>4</w:t>
            </w:r>
            <w:r>
              <w:rPr>
                <w:rFonts w:ascii="宋体" w:hAnsi="宋体" w:eastAsia="宋体" w:cs="宋体"/>
                <w:bCs/>
              </w:rPr>
              <w:t xml:space="preserve"> </w:t>
            </w:r>
            <w:r>
              <w:rPr>
                <w:rFonts w:hint="eastAsia" w:ascii="宋体" w:hAnsi="宋体" w:eastAsia="宋体" w:cs="宋体"/>
                <w:bCs/>
                <w:bdr w:val="single" w:color="auto" w:sz="4" w:space="0"/>
              </w:rPr>
              <w:t>非限制区进监督区和控制区的出入口处均应设卫生通过。</w:t>
            </w:r>
          </w:p>
        </w:tc>
        <w:tc>
          <w:tcPr>
            <w:tcW w:w="4261" w:type="dxa"/>
          </w:tcPr>
          <w:p w14:paraId="7FE6D9A8">
            <w:pPr>
              <w:rPr>
                <w:rFonts w:ascii="宋体" w:hAnsi="宋体" w:eastAsia="宋体"/>
                <w:bCs/>
              </w:rPr>
            </w:pPr>
            <w:r>
              <w:rPr>
                <w:rFonts w:hint="eastAsia" w:ascii="宋体" w:hAnsi="宋体" w:eastAsia="宋体"/>
                <w:bCs/>
              </w:rPr>
              <w:t>5.11.1 核医学科位置与平面布置应符合下列要求：</w:t>
            </w:r>
          </w:p>
          <w:p w14:paraId="563906F4">
            <w:pPr>
              <w:ind w:firstLine="480" w:firstLineChars="200"/>
              <w:rPr>
                <w:rFonts w:ascii="宋体" w:hAnsi="宋体" w:eastAsia="宋体" w:cs="宋体"/>
                <w:bCs/>
              </w:rPr>
            </w:pPr>
            <w:r>
              <w:rPr>
                <w:rFonts w:hint="eastAsia" w:ascii="宋体" w:hAnsi="宋体" w:eastAsia="宋体" w:cs="宋体"/>
                <w:bCs/>
              </w:rPr>
              <w:t>1 应自成一区，并应符合国家现行有关防护标准的规定。放射源应设单独出入口。</w:t>
            </w:r>
          </w:p>
          <w:p w14:paraId="64CCA178">
            <w:pPr>
              <w:ind w:firstLine="480" w:firstLineChars="200"/>
              <w:rPr>
                <w:rFonts w:ascii="宋体" w:hAnsi="宋体" w:eastAsia="宋体" w:cs="宋体"/>
                <w:bCs/>
              </w:rPr>
            </w:pPr>
            <w:r>
              <w:rPr>
                <w:rFonts w:hint="eastAsia" w:ascii="宋体" w:hAnsi="宋体" w:eastAsia="宋体" w:cs="宋体"/>
                <w:bCs/>
              </w:rPr>
              <w:t>2 平面布置应按“控制区、监督区”的顺序分区布置。</w:t>
            </w:r>
          </w:p>
          <w:p w14:paraId="195B68D7">
            <w:pPr>
              <w:ind w:firstLine="480" w:firstLineChars="200"/>
              <w:rPr>
                <w:rFonts w:ascii="宋体" w:hAnsi="宋体" w:eastAsia="宋体" w:cs="宋体"/>
                <w:bCs/>
              </w:rPr>
            </w:pPr>
            <w:r>
              <w:rPr>
                <w:rFonts w:hint="eastAsia" w:ascii="宋体" w:hAnsi="宋体" w:eastAsia="宋体" w:cs="宋体"/>
                <w:bCs/>
              </w:rPr>
              <w:t>3 控制区应设于尽端，并应有贮运放射性物质及处理放射性废弃物的设施。</w:t>
            </w:r>
          </w:p>
          <w:p w14:paraId="62D1B753">
            <w:pPr>
              <w:ind w:firstLine="480" w:firstLineChars="200"/>
              <w:rPr>
                <w:rFonts w:ascii="宋体" w:hAnsi="宋体" w:eastAsia="宋体" w:cs="宋体"/>
                <w:bCs/>
                <w:u w:val="single"/>
              </w:rPr>
            </w:pPr>
            <w:r>
              <w:rPr>
                <w:rFonts w:hint="eastAsia" w:ascii="宋体" w:hAnsi="宋体" w:eastAsia="宋体" w:cs="宋体"/>
                <w:bCs/>
              </w:rPr>
              <w:t xml:space="preserve">4 </w:t>
            </w:r>
            <w:r>
              <w:rPr>
                <w:rFonts w:hint="eastAsia" w:ascii="宋体" w:hAnsi="宋体" w:eastAsia="宋体" w:cs="宋体"/>
                <w:bCs/>
                <w:u w:val="single"/>
              </w:rPr>
              <w:t>控制区的出入口应设置卫生通过。</w:t>
            </w:r>
          </w:p>
          <w:p w14:paraId="2272E656">
            <w:pPr>
              <w:ind w:firstLine="480" w:firstLineChars="200"/>
            </w:pPr>
            <w:r>
              <w:rPr>
                <w:rFonts w:ascii="宋体" w:hAnsi="宋体" w:eastAsia="宋体" w:cs="宋体"/>
                <w:bCs/>
                <w:u w:val="single"/>
              </w:rPr>
              <w:t xml:space="preserve">5 </w:t>
            </w:r>
            <w:r>
              <w:rPr>
                <w:rFonts w:hint="eastAsia" w:ascii="宋体" w:hAnsi="宋体" w:eastAsia="宋体" w:cs="宋体"/>
                <w:bCs/>
                <w:u w:val="single"/>
              </w:rPr>
              <w:t>患者就医流线、离院流线与医护流线应分别独立设置。</w:t>
            </w:r>
          </w:p>
        </w:tc>
      </w:tr>
      <w:tr w14:paraId="6F6E3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D48CFA6">
            <w:pPr>
              <w:rPr>
                <w:rFonts w:ascii="宋体" w:hAnsi="宋体" w:eastAsia="宋体"/>
                <w:bCs/>
              </w:rPr>
            </w:pPr>
            <w:r>
              <w:rPr>
                <w:rFonts w:hint="eastAsia" w:ascii="宋体" w:hAnsi="宋体" w:eastAsia="宋体"/>
                <w:bCs/>
              </w:rPr>
              <w:t xml:space="preserve">5.11.2 用房设置应符合下列要求： </w:t>
            </w:r>
          </w:p>
          <w:p w14:paraId="2D52EECB">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bdr w:val="single" w:color="auto" w:sz="4" w:space="0"/>
              </w:rPr>
              <w:t>非限制区应</w:t>
            </w:r>
            <w:r>
              <w:rPr>
                <w:rFonts w:hint="eastAsia" w:ascii="宋体" w:hAnsi="宋体" w:eastAsia="宋体" w:cs="宋体"/>
                <w:bCs/>
              </w:rPr>
              <w:t>设候诊、诊室、医生办公和卫生间等用房</w:t>
            </w:r>
            <w:r>
              <w:rPr>
                <w:rFonts w:hint="eastAsia" w:cs="宋体" w:asciiTheme="minorEastAsia" w:hAnsiTheme="minorEastAsia"/>
                <w:bCs/>
                <w:bdr w:val="single" w:color="auto" w:sz="4" w:space="0"/>
              </w:rPr>
              <w:t>；</w:t>
            </w:r>
          </w:p>
          <w:p w14:paraId="619FB344">
            <w:pPr>
              <w:ind w:firstLine="480" w:firstLineChars="200"/>
              <w:rPr>
                <w:rFonts w:ascii="宋体" w:hAnsi="宋体" w:eastAsia="宋体" w:cs="宋体"/>
                <w:bCs/>
              </w:rPr>
            </w:pPr>
            <w:r>
              <w:rPr>
                <w:rFonts w:hint="eastAsia" w:ascii="宋体" w:hAnsi="宋体" w:eastAsia="宋体" w:cs="宋体"/>
                <w:bCs/>
              </w:rPr>
              <w:t>2 监督区应设</w:t>
            </w:r>
            <w:r>
              <w:rPr>
                <w:rFonts w:hint="eastAsia" w:ascii="宋体" w:hAnsi="宋体" w:eastAsia="宋体" w:cs="宋体"/>
                <w:bCs/>
                <w:bdr w:val="single" w:color="auto" w:sz="4" w:space="0"/>
              </w:rPr>
              <w:t>扫描、功能测定和运动负荷试验等用房，以及专用等候区和卫生间；</w:t>
            </w:r>
          </w:p>
          <w:p w14:paraId="46AD2985">
            <w:pPr>
              <w:ind w:firstLine="480" w:firstLineChars="200"/>
            </w:pPr>
            <w:r>
              <w:rPr>
                <w:rFonts w:hint="eastAsia" w:ascii="宋体" w:hAnsi="宋体" w:eastAsia="宋体" w:cs="宋体"/>
                <w:bCs/>
              </w:rPr>
              <w:t>3 控制区应设</w:t>
            </w:r>
            <w:r>
              <w:rPr>
                <w:rFonts w:hint="eastAsia" w:ascii="宋体" w:hAnsi="宋体" w:eastAsia="宋体" w:cs="宋体"/>
                <w:bCs/>
                <w:bdr w:val="single" w:color="auto" w:sz="4" w:space="0"/>
              </w:rPr>
              <w:t>计量、服药、注射、试剂配制、卫生通过、储源、分装、标记和洗涤</w:t>
            </w:r>
            <w:r>
              <w:rPr>
                <w:rFonts w:hint="eastAsia" w:ascii="宋体" w:hAnsi="宋体" w:eastAsia="宋体" w:cs="宋体"/>
                <w:bCs/>
              </w:rPr>
              <w:t>等用房。</w:t>
            </w:r>
          </w:p>
        </w:tc>
        <w:tc>
          <w:tcPr>
            <w:tcW w:w="4261" w:type="dxa"/>
          </w:tcPr>
          <w:p w14:paraId="7C1EA9C8">
            <w:pPr>
              <w:rPr>
                <w:rFonts w:ascii="宋体" w:hAnsi="宋体" w:eastAsia="宋体"/>
                <w:bCs/>
              </w:rPr>
            </w:pPr>
            <w:r>
              <w:rPr>
                <w:rFonts w:hint="eastAsia" w:ascii="宋体" w:hAnsi="宋体" w:eastAsia="宋体"/>
                <w:bCs/>
              </w:rPr>
              <w:t xml:space="preserve">5.11.2 用房设置应符合下列要求： </w:t>
            </w:r>
          </w:p>
          <w:p w14:paraId="3F644F06">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u w:val="single"/>
              </w:rPr>
              <w:t>控制区以外区域可</w:t>
            </w:r>
            <w:r>
              <w:rPr>
                <w:rFonts w:hint="eastAsia" w:ascii="宋体" w:hAnsi="宋体" w:eastAsia="宋体" w:cs="宋体"/>
                <w:bCs/>
                <w:bdr w:val="single" w:color="auto" w:sz="4" w:space="0"/>
              </w:rPr>
              <w:t>非限制区应</w:t>
            </w:r>
            <w:r>
              <w:rPr>
                <w:rFonts w:hint="eastAsia" w:ascii="宋体" w:hAnsi="宋体" w:eastAsia="宋体" w:cs="宋体"/>
                <w:bCs/>
              </w:rPr>
              <w:t>设候诊、诊室、医生办公</w:t>
            </w:r>
            <w:r>
              <w:rPr>
                <w:rFonts w:hint="eastAsia" w:ascii="宋体" w:hAnsi="宋体" w:eastAsia="宋体" w:cs="宋体"/>
                <w:bCs/>
                <w:u w:val="single"/>
              </w:rPr>
              <w:t>、读片室、更衣</w:t>
            </w:r>
            <w:r>
              <w:rPr>
                <w:rFonts w:hint="eastAsia" w:ascii="宋体" w:hAnsi="宋体" w:eastAsia="宋体" w:cs="宋体"/>
                <w:bCs/>
              </w:rPr>
              <w:t>和卫生间等用房</w:t>
            </w:r>
            <w:r>
              <w:rPr>
                <w:rFonts w:hint="eastAsia" w:cs="宋体" w:asciiTheme="minorEastAsia" w:hAnsiTheme="minorEastAsia"/>
                <w:bCs/>
                <w:u w:val="single"/>
              </w:rPr>
              <w:t>。</w:t>
            </w:r>
          </w:p>
          <w:p w14:paraId="06386C47">
            <w:pPr>
              <w:ind w:firstLine="480" w:firstLineChars="200"/>
              <w:rPr>
                <w:rFonts w:ascii="宋体" w:hAnsi="宋体" w:eastAsia="宋体" w:cs="宋体"/>
                <w:bCs/>
              </w:rPr>
            </w:pPr>
            <w:r>
              <w:rPr>
                <w:rFonts w:hint="eastAsia" w:ascii="宋体" w:hAnsi="宋体" w:eastAsia="宋体" w:cs="宋体"/>
                <w:bCs/>
              </w:rPr>
              <w:t>2 监督区</w:t>
            </w:r>
            <w:r>
              <w:rPr>
                <w:rFonts w:hint="eastAsia" w:ascii="宋体" w:hAnsi="宋体" w:eastAsia="宋体" w:cs="宋体"/>
                <w:bCs/>
                <w:u w:val="single"/>
              </w:rPr>
              <w:t>为与控制区相邻用房或走道，</w:t>
            </w:r>
            <w:r>
              <w:rPr>
                <w:rFonts w:hint="eastAsia" w:ascii="宋体" w:hAnsi="宋体" w:eastAsia="宋体" w:cs="宋体"/>
                <w:bCs/>
              </w:rPr>
              <w:t>应设</w:t>
            </w:r>
            <w:r>
              <w:rPr>
                <w:rFonts w:hint="eastAsia" w:ascii="宋体" w:hAnsi="宋体" w:eastAsia="宋体" w:cs="宋体"/>
                <w:bCs/>
                <w:u w:val="single"/>
              </w:rPr>
              <w:t>患者更衣、医技功能检查室的控制室及其设备机房等</w:t>
            </w:r>
            <w:r>
              <w:rPr>
                <w:rFonts w:hint="eastAsia" w:ascii="宋体" w:hAnsi="宋体" w:eastAsia="宋体" w:cs="宋体"/>
                <w:bCs/>
                <w:sz w:val="28"/>
                <w:szCs w:val="36"/>
                <w:u w:val="single"/>
              </w:rPr>
              <w:t>。</w:t>
            </w:r>
          </w:p>
          <w:p w14:paraId="3D9EA421">
            <w:pPr>
              <w:ind w:firstLine="480" w:firstLineChars="200"/>
              <w:rPr>
                <w:rFonts w:ascii="宋体" w:hAnsi="宋体" w:eastAsia="宋体" w:cs="宋体"/>
                <w:bCs/>
              </w:rPr>
            </w:pPr>
            <w:r>
              <w:rPr>
                <w:rFonts w:hint="eastAsia" w:ascii="宋体" w:hAnsi="宋体" w:eastAsia="宋体" w:cs="宋体"/>
                <w:bCs/>
              </w:rPr>
              <w:t>3 控制区应设</w:t>
            </w:r>
            <w:r>
              <w:rPr>
                <w:rFonts w:hint="eastAsia" w:ascii="宋体" w:hAnsi="宋体" w:eastAsia="宋体" w:cs="宋体"/>
                <w:bCs/>
                <w:u w:val="single"/>
              </w:rPr>
              <w:t>卫生通过、医技功能检查室（</w:t>
            </w:r>
            <w:r>
              <w:rPr>
                <w:rFonts w:ascii="宋体" w:hAnsi="宋体" w:eastAsia="宋体" w:cs="宋体"/>
                <w:bCs/>
                <w:u w:val="single"/>
              </w:rPr>
              <w:t>SPECT</w:t>
            </w:r>
            <w:r>
              <w:rPr>
                <w:rFonts w:hint="eastAsia" w:ascii="宋体" w:hAnsi="宋体" w:eastAsia="宋体" w:cs="宋体"/>
                <w:bCs/>
                <w:u w:val="single"/>
              </w:rPr>
              <w:t>、P</w:t>
            </w:r>
            <w:r>
              <w:rPr>
                <w:rFonts w:ascii="宋体" w:hAnsi="宋体" w:eastAsia="宋体" w:cs="宋体"/>
                <w:bCs/>
                <w:u w:val="single"/>
              </w:rPr>
              <w:t>ET</w:t>
            </w:r>
            <w:r>
              <w:rPr>
                <w:rFonts w:hint="eastAsia" w:ascii="宋体" w:hAnsi="宋体" w:eastAsia="宋体" w:cs="宋体"/>
                <w:bCs/>
                <w:u w:val="single"/>
              </w:rPr>
              <w:t>-</w:t>
            </w:r>
            <w:r>
              <w:rPr>
                <w:rFonts w:ascii="宋体" w:hAnsi="宋体" w:eastAsia="宋体" w:cs="宋体"/>
                <w:bCs/>
                <w:u w:val="single"/>
              </w:rPr>
              <w:t>MR</w:t>
            </w:r>
            <w:r>
              <w:rPr>
                <w:rFonts w:hint="eastAsia" w:ascii="宋体" w:hAnsi="宋体" w:eastAsia="宋体" w:cs="宋体"/>
                <w:bCs/>
                <w:u w:val="single"/>
              </w:rPr>
              <w:t>、P</w:t>
            </w:r>
            <w:r>
              <w:rPr>
                <w:rFonts w:ascii="宋体" w:hAnsi="宋体" w:eastAsia="宋体" w:cs="宋体"/>
                <w:bCs/>
                <w:u w:val="single"/>
              </w:rPr>
              <w:t>ET-CT</w:t>
            </w:r>
            <w:r>
              <w:rPr>
                <w:rFonts w:hint="eastAsia" w:ascii="宋体" w:hAnsi="宋体" w:eastAsia="宋体" w:cs="宋体"/>
                <w:bCs/>
                <w:u w:val="single"/>
              </w:rPr>
              <w:t>等）、运动负荷、抢救、储源、分装室、注射、注射后休息、废弃物存放、留观、病人卫生间</w:t>
            </w:r>
            <w:r>
              <w:rPr>
                <w:rFonts w:hint="eastAsia" w:ascii="宋体" w:hAnsi="宋体" w:eastAsia="宋体" w:cs="宋体"/>
                <w:bCs/>
              </w:rPr>
              <w:t>等用房。</w:t>
            </w:r>
          </w:p>
          <w:p w14:paraId="0A0B52A5">
            <w:pPr>
              <w:ind w:firstLine="480" w:firstLineChars="200"/>
            </w:pPr>
            <w:r>
              <w:rPr>
                <w:rFonts w:ascii="宋体" w:hAnsi="宋体" w:eastAsia="宋体" w:cs="宋体"/>
                <w:bCs/>
                <w:u w:val="single"/>
              </w:rPr>
              <w:t xml:space="preserve">4 </w:t>
            </w:r>
            <w:r>
              <w:rPr>
                <w:rFonts w:hint="eastAsia" w:ascii="宋体" w:hAnsi="宋体" w:eastAsia="宋体" w:cs="宋体"/>
                <w:bCs/>
                <w:u w:val="single"/>
              </w:rPr>
              <w:t>放射性废水须单独设置衰变池，做防护处理。</w:t>
            </w:r>
          </w:p>
        </w:tc>
      </w:tr>
      <w:tr w14:paraId="2E9ED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1458191"/>
        </w:tc>
        <w:tc>
          <w:tcPr>
            <w:tcW w:w="4261" w:type="dxa"/>
          </w:tcPr>
          <w:p w14:paraId="12889722">
            <w:pPr>
              <w:rPr>
                <w:rFonts w:ascii="宋体" w:hAnsi="宋体" w:eastAsia="宋体" w:cs="宋体"/>
                <w:bCs/>
                <w:u w:val="single"/>
              </w:rPr>
            </w:pPr>
            <w:r>
              <w:rPr>
                <w:rFonts w:hint="eastAsia" w:ascii="宋体" w:hAnsi="宋体" w:eastAsia="宋体" w:cs="宋体"/>
                <w:bCs/>
                <w:u w:val="single"/>
              </w:rPr>
              <w:t>5.11.2</w:t>
            </w:r>
            <w:r>
              <w:rPr>
                <w:rFonts w:ascii="宋体" w:hAnsi="宋体" w:eastAsia="宋体" w:cs="宋体"/>
                <w:bCs/>
                <w:u w:val="single"/>
              </w:rPr>
              <w:t xml:space="preserve">A </w:t>
            </w:r>
            <w:r>
              <w:rPr>
                <w:rFonts w:hint="eastAsia" w:ascii="宋体" w:hAnsi="宋体" w:eastAsia="宋体" w:cs="宋体"/>
                <w:bCs/>
                <w:u w:val="single"/>
              </w:rPr>
              <w:t>核素治疗病房宜结合核医学科设置，设置在平面尽端或靠建筑外墙布置。平面布置及用房设置应符合下列要求：</w:t>
            </w:r>
          </w:p>
          <w:p w14:paraId="1D1AA5C8">
            <w:pPr>
              <w:ind w:firstLine="480" w:firstLineChars="200"/>
              <w:rPr>
                <w:rFonts w:ascii="宋体" w:hAnsi="宋体" w:eastAsia="宋体" w:cs="宋体"/>
                <w:bCs/>
                <w:u w:val="single"/>
              </w:rPr>
            </w:pPr>
            <w:r>
              <w:rPr>
                <w:rFonts w:hint="eastAsia" w:ascii="宋体" w:hAnsi="宋体" w:eastAsia="宋体" w:cs="宋体"/>
                <w:bCs/>
                <w:u w:val="single"/>
              </w:rPr>
              <w:t xml:space="preserve">1 平面布置应按“控制区、监督区”的顺序分区布置。 </w:t>
            </w:r>
          </w:p>
          <w:p w14:paraId="2256A680">
            <w:pPr>
              <w:ind w:firstLine="480" w:firstLineChars="200"/>
              <w:rPr>
                <w:rFonts w:ascii="宋体" w:hAnsi="宋体" w:eastAsia="宋体" w:cs="宋体"/>
                <w:bCs/>
                <w:u w:val="single"/>
              </w:rPr>
            </w:pPr>
            <w:r>
              <w:rPr>
                <w:rFonts w:hint="eastAsia" w:ascii="宋体" w:hAnsi="宋体" w:eastAsia="宋体" w:cs="宋体"/>
                <w:bCs/>
                <w:u w:val="single"/>
              </w:rPr>
              <w:t>2 控制区以外区域可应设置医生办公、卫生间、护士站、值班等，宜设置视频探视等。</w:t>
            </w:r>
          </w:p>
          <w:p w14:paraId="713E42DB">
            <w:pPr>
              <w:ind w:firstLine="480" w:firstLineChars="200"/>
              <w:rPr>
                <w:rFonts w:ascii="宋体" w:hAnsi="宋体" w:eastAsia="宋体" w:cs="宋体"/>
                <w:bCs/>
                <w:u w:val="single"/>
              </w:rPr>
            </w:pPr>
            <w:r>
              <w:rPr>
                <w:rFonts w:hint="eastAsia" w:ascii="宋体" w:hAnsi="宋体" w:eastAsia="宋体" w:cs="宋体"/>
                <w:bCs/>
                <w:u w:val="single"/>
              </w:rPr>
              <w:t>3 监督区为与控制区相邻用房或走道，应设置护士站、配餐等。</w:t>
            </w:r>
          </w:p>
          <w:p w14:paraId="7C97BAE6">
            <w:pPr>
              <w:ind w:firstLine="480" w:firstLineChars="200"/>
              <w:rPr>
                <w:rFonts w:ascii="宋体" w:hAnsi="宋体" w:eastAsia="宋体" w:cs="宋体"/>
                <w:bCs/>
                <w:u w:val="single"/>
              </w:rPr>
            </w:pPr>
            <w:r>
              <w:rPr>
                <w:rFonts w:hint="eastAsia" w:ascii="宋体" w:hAnsi="宋体" w:eastAsia="宋体" w:cs="宋体"/>
                <w:bCs/>
                <w:u w:val="single"/>
              </w:rPr>
              <w:t>4 控制区应设核素治疗室、服药、储源、分装给药、废弃物存放、污洗间、卫生通过等，宜设置活动减压室、开水间、视频探视等。</w:t>
            </w:r>
          </w:p>
          <w:p w14:paraId="63EA06C2">
            <w:pPr>
              <w:ind w:firstLine="480" w:firstLineChars="200"/>
              <w:rPr>
                <w:rFonts w:ascii="宋体" w:hAnsi="宋体" w:eastAsia="宋体" w:cs="宋体"/>
                <w:bCs/>
                <w:u w:val="single"/>
              </w:rPr>
            </w:pPr>
            <w:r>
              <w:rPr>
                <w:rFonts w:hint="eastAsia" w:ascii="宋体" w:hAnsi="宋体" w:eastAsia="宋体" w:cs="宋体"/>
                <w:bCs/>
                <w:u w:val="single"/>
              </w:rPr>
              <w:t>5 核素治疗室宜为单人间，每间病房最多不应超过2人，并且两人之间应设置适当的防护屏蔽。</w:t>
            </w:r>
          </w:p>
          <w:p w14:paraId="24122E66">
            <w:pPr>
              <w:ind w:firstLine="480" w:firstLineChars="200"/>
              <w:rPr>
                <w:rFonts w:ascii="宋体" w:hAnsi="宋体" w:eastAsia="宋体" w:cs="宋体"/>
                <w:bCs/>
                <w:u w:val="single"/>
              </w:rPr>
            </w:pPr>
            <w:r>
              <w:rPr>
                <w:rFonts w:hint="eastAsia" w:ascii="宋体" w:hAnsi="宋体" w:eastAsia="宋体" w:cs="宋体"/>
                <w:bCs/>
                <w:u w:val="single"/>
              </w:rPr>
              <w:t>6 患者流线按检前至检后单向流动，进出口分设。</w:t>
            </w:r>
          </w:p>
          <w:p w14:paraId="688AC470">
            <w:pPr>
              <w:ind w:firstLine="480" w:firstLineChars="200"/>
            </w:pPr>
            <w:r>
              <w:rPr>
                <w:rFonts w:hint="eastAsia" w:ascii="宋体" w:hAnsi="宋体" w:eastAsia="宋体" w:cs="宋体"/>
                <w:bCs/>
                <w:u w:val="single"/>
              </w:rPr>
              <w:t>7 治疗病房可设置采光窗，采光窗应进行必要的防护，满足相关防护标准。</w:t>
            </w:r>
          </w:p>
        </w:tc>
      </w:tr>
      <w:tr w14:paraId="4C8DD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FBDFD87">
            <w:pPr>
              <w:jc w:val="center"/>
              <w:rPr>
                <w:rFonts w:asciiTheme="minorEastAsia" w:hAnsiTheme="minorEastAsia"/>
              </w:rPr>
            </w:pPr>
            <w:bookmarkStart w:id="15" w:name="_Toc85880732"/>
            <w:r>
              <w:rPr>
                <w:rFonts w:hint="eastAsia" w:asciiTheme="minorEastAsia" w:hAnsiTheme="minorEastAsia"/>
              </w:rPr>
              <w:t>5.12</w:t>
            </w:r>
            <w:r>
              <w:rPr>
                <w:rFonts w:asciiTheme="minorEastAsia" w:hAnsiTheme="minorEastAsia"/>
              </w:rPr>
              <w:t xml:space="preserve"> </w:t>
            </w:r>
            <w:r>
              <w:rPr>
                <w:rFonts w:hint="eastAsia" w:asciiTheme="minorEastAsia" w:hAnsiTheme="minorEastAsia"/>
              </w:rPr>
              <w:t>介入治疗用房</w:t>
            </w:r>
            <w:bookmarkEnd w:id="15"/>
          </w:p>
        </w:tc>
        <w:tc>
          <w:tcPr>
            <w:tcW w:w="4261" w:type="dxa"/>
          </w:tcPr>
          <w:p w14:paraId="56B3D8B7">
            <w:pPr>
              <w:jc w:val="center"/>
              <w:rPr>
                <w:rFonts w:asciiTheme="minorEastAsia" w:hAnsiTheme="minorEastAsia"/>
              </w:rPr>
            </w:pPr>
            <w:r>
              <w:rPr>
                <w:rFonts w:hint="eastAsia" w:asciiTheme="minorEastAsia" w:hAnsiTheme="minorEastAsia"/>
              </w:rPr>
              <w:t>5.12</w:t>
            </w:r>
            <w:r>
              <w:rPr>
                <w:rFonts w:asciiTheme="minorEastAsia" w:hAnsiTheme="minorEastAsia"/>
              </w:rPr>
              <w:t xml:space="preserve"> </w:t>
            </w:r>
            <w:r>
              <w:rPr>
                <w:rFonts w:hint="eastAsia" w:asciiTheme="minorEastAsia" w:hAnsiTheme="minorEastAsia"/>
              </w:rPr>
              <w:t>介入治疗用房</w:t>
            </w:r>
          </w:p>
        </w:tc>
      </w:tr>
      <w:tr w14:paraId="410BC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8C7938C">
            <w:pPr>
              <w:rPr>
                <w:rFonts w:ascii="宋体" w:hAnsi="宋体" w:eastAsia="宋体"/>
                <w:bCs/>
              </w:rPr>
            </w:pPr>
            <w:r>
              <w:rPr>
                <w:rFonts w:hint="eastAsia" w:ascii="宋体" w:hAnsi="宋体" w:eastAsia="宋体"/>
                <w:bCs/>
              </w:rPr>
              <w:t>5.12.2 用房设置应符合下列要求：</w:t>
            </w:r>
          </w:p>
          <w:p w14:paraId="1B745C72">
            <w:pPr>
              <w:ind w:firstLine="480" w:firstLineChars="200"/>
              <w:rPr>
                <w:rFonts w:ascii="宋体" w:hAnsi="宋体" w:eastAsia="宋体" w:cs="宋体"/>
                <w:bCs/>
              </w:rPr>
            </w:pPr>
            <w:r>
              <w:rPr>
                <w:rFonts w:hint="eastAsia" w:ascii="宋体" w:hAnsi="宋体" w:eastAsia="宋体" w:cs="宋体"/>
                <w:bCs/>
              </w:rPr>
              <w:t>1 应设心血管造影机房、控制、机械间、洗手准备、无菌物品、治疗、更衣和卫生间等用房；</w:t>
            </w:r>
          </w:p>
          <w:p w14:paraId="5A0B3B2F">
            <w:pPr>
              <w:ind w:firstLine="480" w:firstLineChars="200"/>
            </w:pPr>
            <w:r>
              <w:rPr>
                <w:rFonts w:hint="eastAsia" w:ascii="宋体" w:hAnsi="宋体" w:eastAsia="宋体" w:cs="宋体"/>
                <w:bCs/>
              </w:rPr>
              <w:t>2 可设置办公、会诊、值班、护理和资料等用房。</w:t>
            </w:r>
          </w:p>
        </w:tc>
        <w:tc>
          <w:tcPr>
            <w:tcW w:w="4261" w:type="dxa"/>
          </w:tcPr>
          <w:p w14:paraId="7BEA55A2">
            <w:pPr>
              <w:rPr>
                <w:rFonts w:ascii="宋体" w:hAnsi="宋体" w:eastAsia="宋体"/>
                <w:bCs/>
              </w:rPr>
            </w:pPr>
            <w:r>
              <w:rPr>
                <w:rFonts w:hint="eastAsia" w:ascii="宋体" w:hAnsi="宋体" w:eastAsia="宋体"/>
                <w:bCs/>
              </w:rPr>
              <w:t>5.12.2 用房设置应符合下列要求：</w:t>
            </w:r>
          </w:p>
          <w:p w14:paraId="67E426B4">
            <w:pPr>
              <w:ind w:firstLine="480" w:firstLineChars="200"/>
              <w:rPr>
                <w:rFonts w:ascii="宋体" w:hAnsi="宋体" w:eastAsia="宋体" w:cs="宋体"/>
                <w:bCs/>
              </w:rPr>
            </w:pPr>
            <w:r>
              <w:rPr>
                <w:rFonts w:hint="eastAsia" w:ascii="宋体" w:hAnsi="宋体" w:eastAsia="宋体" w:cs="宋体"/>
                <w:bCs/>
              </w:rPr>
              <w:t>1 应设心血管造影机房、控制、机械间、洗手准备、</w:t>
            </w:r>
            <w:r>
              <w:rPr>
                <w:rFonts w:hint="eastAsia" w:ascii="宋体" w:hAnsi="宋体" w:eastAsia="宋体" w:cs="宋体"/>
                <w:bCs/>
                <w:u w:val="single"/>
              </w:rPr>
              <w:t>术前准备、术后恢复、</w:t>
            </w:r>
            <w:r>
              <w:rPr>
                <w:rFonts w:hint="eastAsia" w:ascii="宋体" w:hAnsi="宋体" w:eastAsia="宋体" w:cs="宋体"/>
                <w:bCs/>
              </w:rPr>
              <w:t>无菌物品、治疗、更衣和卫生间等用房；</w:t>
            </w:r>
          </w:p>
          <w:p w14:paraId="36ADB529">
            <w:pPr>
              <w:ind w:firstLine="480" w:firstLineChars="200"/>
            </w:pPr>
            <w:r>
              <w:rPr>
                <w:rFonts w:hint="eastAsia" w:ascii="宋体" w:hAnsi="宋体" w:eastAsia="宋体" w:cs="宋体"/>
                <w:bCs/>
              </w:rPr>
              <w:t>2 可设置办公、会诊、值班、护理和资料等用房。</w:t>
            </w:r>
          </w:p>
        </w:tc>
      </w:tr>
      <w:tr w14:paraId="4FF37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B5FBA1C">
            <w:r>
              <w:rPr>
                <w:rFonts w:hint="eastAsia" w:asciiTheme="minorEastAsia" w:hAnsiTheme="minorEastAsia"/>
                <w:bCs/>
              </w:rPr>
              <w:t>5.12.3 介入治疗用</w:t>
            </w:r>
            <w:r>
              <w:rPr>
                <w:rFonts w:hint="eastAsia" w:asciiTheme="minorEastAsia" w:hAnsiTheme="minorEastAsia"/>
                <w:bCs/>
                <w:bdr w:val="single" w:color="auto" w:sz="4" w:space="0"/>
              </w:rPr>
              <w:t>户</w:t>
            </w:r>
            <w:r>
              <w:rPr>
                <w:rFonts w:hint="eastAsia" w:asciiTheme="minorEastAsia" w:hAnsiTheme="minorEastAsia"/>
                <w:bCs/>
              </w:rPr>
              <w:t>应满足医疗设备安装、室内环境的要求。</w:t>
            </w:r>
          </w:p>
        </w:tc>
        <w:tc>
          <w:tcPr>
            <w:tcW w:w="4261" w:type="dxa"/>
          </w:tcPr>
          <w:p w14:paraId="2273CFB1">
            <w:r>
              <w:rPr>
                <w:rFonts w:hint="eastAsia" w:asciiTheme="minorEastAsia" w:hAnsiTheme="minorEastAsia"/>
                <w:bCs/>
              </w:rPr>
              <w:t>5.12.3 介入治疗用</w:t>
            </w:r>
            <w:r>
              <w:rPr>
                <w:rFonts w:hint="eastAsia" w:asciiTheme="minorEastAsia" w:hAnsiTheme="minorEastAsia"/>
                <w:bCs/>
                <w:u w:val="single"/>
              </w:rPr>
              <w:t>房</w:t>
            </w:r>
            <w:r>
              <w:rPr>
                <w:rFonts w:hint="eastAsia" w:asciiTheme="minorEastAsia" w:hAnsiTheme="minorEastAsia"/>
                <w:bCs/>
              </w:rPr>
              <w:t>应满足医疗设备安装、室内环境的要求。</w:t>
            </w:r>
          </w:p>
        </w:tc>
      </w:tr>
      <w:tr w14:paraId="0051E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9E2D17B">
            <w:pPr>
              <w:jc w:val="center"/>
              <w:rPr>
                <w:rFonts w:asciiTheme="minorEastAsia" w:hAnsiTheme="minorEastAsia"/>
              </w:rPr>
            </w:pPr>
            <w:bookmarkStart w:id="16" w:name="_Toc85880733"/>
            <w:r>
              <w:rPr>
                <w:rFonts w:hint="eastAsia" w:asciiTheme="minorEastAsia" w:hAnsiTheme="minorEastAsia"/>
              </w:rPr>
              <w:t>5.13</w:t>
            </w:r>
            <w:r>
              <w:rPr>
                <w:rFonts w:asciiTheme="minorEastAsia" w:hAnsiTheme="minorEastAsia"/>
              </w:rPr>
              <w:t xml:space="preserve"> </w:t>
            </w:r>
            <w:r>
              <w:rPr>
                <w:rFonts w:hint="eastAsia" w:asciiTheme="minorEastAsia" w:hAnsiTheme="minorEastAsia"/>
              </w:rPr>
              <w:t>检验科用房</w:t>
            </w:r>
            <w:bookmarkEnd w:id="16"/>
          </w:p>
        </w:tc>
        <w:tc>
          <w:tcPr>
            <w:tcW w:w="4261" w:type="dxa"/>
          </w:tcPr>
          <w:p w14:paraId="1D8B33E0">
            <w:pPr>
              <w:jc w:val="center"/>
              <w:rPr>
                <w:rFonts w:asciiTheme="minorEastAsia" w:hAnsiTheme="minorEastAsia"/>
              </w:rPr>
            </w:pPr>
            <w:r>
              <w:rPr>
                <w:rFonts w:hint="eastAsia" w:asciiTheme="minorEastAsia" w:hAnsiTheme="minorEastAsia"/>
              </w:rPr>
              <w:t>5.13</w:t>
            </w:r>
            <w:r>
              <w:rPr>
                <w:rFonts w:asciiTheme="minorEastAsia" w:hAnsiTheme="minorEastAsia"/>
              </w:rPr>
              <w:t xml:space="preserve"> </w:t>
            </w:r>
            <w:r>
              <w:rPr>
                <w:rFonts w:hint="eastAsia" w:asciiTheme="minorEastAsia" w:hAnsiTheme="minorEastAsia"/>
              </w:rPr>
              <w:t>检验科用房</w:t>
            </w:r>
          </w:p>
        </w:tc>
      </w:tr>
      <w:tr w14:paraId="2DFC4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192677D">
            <w:pPr>
              <w:rPr>
                <w:rFonts w:ascii="宋体" w:hAnsi="宋体" w:eastAsia="宋体"/>
                <w:bCs/>
              </w:rPr>
            </w:pPr>
            <w:r>
              <w:rPr>
                <w:rFonts w:hint="eastAsia" w:ascii="宋体" w:hAnsi="宋体" w:eastAsia="宋体"/>
                <w:bCs/>
              </w:rPr>
              <w:t>5.13.1 检验科用房位置及平面布置应</w:t>
            </w:r>
            <w:r>
              <w:rPr>
                <w:rFonts w:hint="eastAsia" w:cs="宋体" w:asciiTheme="minorEastAsia" w:hAnsiTheme="minorEastAsia"/>
                <w:bCs/>
                <w:bdr w:val="single" w:color="auto" w:sz="4" w:space="0"/>
              </w:rPr>
              <w:t>符号</w:t>
            </w:r>
            <w:r>
              <w:rPr>
                <w:rFonts w:hint="eastAsia" w:ascii="宋体" w:hAnsi="宋体" w:eastAsia="宋体"/>
                <w:bCs/>
              </w:rPr>
              <w:t>下列要求：</w:t>
            </w:r>
          </w:p>
          <w:p w14:paraId="489912C2">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bdr w:val="single" w:color="auto" w:sz="4" w:space="0"/>
              </w:rPr>
              <w:t>应自成一区，微生物学检验应与其他检验分区布置</w:t>
            </w:r>
            <w:r>
              <w:rPr>
                <w:rFonts w:hint="eastAsia" w:ascii="宋体" w:hAnsi="宋体" w:eastAsia="宋体" w:cs="宋体"/>
                <w:bCs/>
              </w:rPr>
              <w:t>；</w:t>
            </w:r>
          </w:p>
          <w:p w14:paraId="3371775E">
            <w:pPr>
              <w:ind w:firstLine="480" w:firstLineChars="200"/>
            </w:pPr>
            <w:r>
              <w:rPr>
                <w:rFonts w:hint="eastAsia" w:ascii="宋体" w:hAnsi="宋体" w:eastAsia="宋体" w:cs="宋体"/>
                <w:bCs/>
              </w:rPr>
              <w:t>2 微生物</w:t>
            </w:r>
            <w:r>
              <w:rPr>
                <w:rFonts w:hint="eastAsia" w:ascii="宋体" w:hAnsi="宋体" w:eastAsia="宋体" w:cs="宋体"/>
                <w:bCs/>
                <w:bdr w:val="single" w:color="auto" w:sz="4" w:space="0"/>
              </w:rPr>
              <w:t>学检验室应设于检验科的尽端</w:t>
            </w:r>
            <w:r>
              <w:rPr>
                <w:rFonts w:hint="eastAsia" w:ascii="宋体" w:hAnsi="宋体" w:eastAsia="宋体" w:cs="宋体"/>
                <w:bCs/>
              </w:rPr>
              <w:t>。</w:t>
            </w:r>
          </w:p>
        </w:tc>
        <w:tc>
          <w:tcPr>
            <w:tcW w:w="4261" w:type="dxa"/>
          </w:tcPr>
          <w:p w14:paraId="22FD114A">
            <w:pPr>
              <w:rPr>
                <w:rFonts w:ascii="宋体" w:hAnsi="宋体" w:eastAsia="宋体"/>
                <w:bCs/>
              </w:rPr>
            </w:pPr>
            <w:r>
              <w:rPr>
                <w:rFonts w:hint="eastAsia" w:ascii="宋体" w:hAnsi="宋体" w:eastAsia="宋体"/>
                <w:bCs/>
              </w:rPr>
              <w:t>5.13.1 检验科用房位置及平面布置应</w:t>
            </w:r>
            <w:r>
              <w:rPr>
                <w:rFonts w:hint="eastAsia" w:ascii="宋体" w:hAnsi="宋体" w:eastAsia="宋体" w:cs="宋体"/>
                <w:bCs/>
                <w:u w:val="single"/>
              </w:rPr>
              <w:t>符合</w:t>
            </w:r>
            <w:r>
              <w:rPr>
                <w:rFonts w:hint="eastAsia" w:ascii="宋体" w:hAnsi="宋体" w:eastAsia="宋体"/>
                <w:bCs/>
              </w:rPr>
              <w:t>下列要求：</w:t>
            </w:r>
          </w:p>
          <w:p w14:paraId="618D09F0">
            <w:pPr>
              <w:ind w:firstLine="480" w:firstLineChars="200"/>
              <w:rPr>
                <w:rFonts w:ascii="宋体" w:hAnsi="宋体" w:eastAsia="宋体" w:cs="宋体"/>
                <w:bCs/>
              </w:rPr>
            </w:pPr>
            <w:r>
              <w:rPr>
                <w:rFonts w:hint="eastAsia" w:ascii="宋体" w:hAnsi="宋体" w:eastAsia="宋体" w:cs="宋体"/>
                <w:bCs/>
              </w:rPr>
              <w:t>1</w:t>
            </w:r>
            <w:r>
              <w:rPr>
                <w:rFonts w:ascii="宋体" w:hAnsi="宋体" w:eastAsia="宋体" w:cs="宋体"/>
                <w:bCs/>
              </w:rPr>
              <w:t xml:space="preserve"> </w:t>
            </w:r>
            <w:r>
              <w:rPr>
                <w:rFonts w:hint="eastAsia" w:ascii="宋体" w:hAnsi="宋体" w:eastAsia="宋体" w:cs="宋体"/>
                <w:bCs/>
                <w:u w:val="single"/>
              </w:rPr>
              <w:t>自成一区，按办公区、实验准备区、实验区三区布置</w:t>
            </w:r>
            <w:r>
              <w:rPr>
                <w:rFonts w:hint="eastAsia" w:ascii="宋体" w:hAnsi="宋体" w:eastAsia="宋体" w:cs="宋体"/>
                <w:bCs/>
              </w:rPr>
              <w:t>；</w:t>
            </w:r>
          </w:p>
          <w:p w14:paraId="7AC33605">
            <w:pPr>
              <w:ind w:firstLine="480" w:firstLineChars="200"/>
            </w:pPr>
            <w:r>
              <w:rPr>
                <w:rFonts w:hint="eastAsia" w:ascii="宋体" w:hAnsi="宋体" w:eastAsia="宋体" w:cs="宋体"/>
                <w:bCs/>
              </w:rPr>
              <w:t>2 微生物</w:t>
            </w:r>
            <w:r>
              <w:rPr>
                <w:rFonts w:hint="eastAsia" w:ascii="宋体" w:hAnsi="宋体" w:eastAsia="宋体" w:cs="宋体"/>
                <w:bCs/>
                <w:u w:val="single"/>
              </w:rPr>
              <w:t>实验室、PCR实验室等生物安全二级实验室宜组合布置</w:t>
            </w:r>
            <w:r>
              <w:rPr>
                <w:rFonts w:hint="eastAsia" w:ascii="宋体" w:hAnsi="宋体" w:eastAsia="宋体" w:cs="宋体"/>
                <w:bCs/>
              </w:rPr>
              <w:t>。</w:t>
            </w:r>
          </w:p>
        </w:tc>
      </w:tr>
      <w:tr w14:paraId="15AF1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1EFA2C2">
            <w:pPr>
              <w:rPr>
                <w:rFonts w:ascii="宋体" w:hAnsi="宋体" w:eastAsia="宋体"/>
                <w:bCs/>
              </w:rPr>
            </w:pPr>
            <w:r>
              <w:rPr>
                <w:rFonts w:hint="eastAsia" w:ascii="宋体" w:hAnsi="宋体" w:eastAsia="宋体"/>
                <w:bCs/>
              </w:rPr>
              <w:t>5.13.2 用房设置应符合下列要求：</w:t>
            </w:r>
          </w:p>
          <w:p w14:paraId="2143C831">
            <w:pPr>
              <w:ind w:firstLine="480" w:firstLineChars="200"/>
              <w:rPr>
                <w:rFonts w:ascii="宋体" w:hAnsi="宋体" w:eastAsia="宋体" w:cs="宋体"/>
                <w:bCs/>
              </w:rPr>
            </w:pPr>
            <w:r>
              <w:rPr>
                <w:rFonts w:hint="eastAsia" w:ascii="宋体" w:hAnsi="宋体" w:eastAsia="宋体" w:cs="宋体"/>
                <w:bCs/>
              </w:rPr>
              <w:t>1 应设临床检验、生化检验、微生物检验、血液实验、细胞检查、血清免疫、洗涤、试剂和材料库等用房；</w:t>
            </w:r>
          </w:p>
          <w:p w14:paraId="4063BFDD">
            <w:pPr>
              <w:ind w:firstLine="480" w:firstLineChars="200"/>
            </w:pPr>
            <w:r>
              <w:rPr>
                <w:rFonts w:hint="eastAsia" w:ascii="宋体" w:hAnsi="宋体" w:eastAsia="宋体" w:cs="宋体"/>
                <w:bCs/>
              </w:rPr>
              <w:t>2 可设更衣、值班和办公等用房</w:t>
            </w:r>
            <w:r>
              <w:rPr>
                <w:rFonts w:hint="eastAsia" w:cs="宋体" w:asciiTheme="minorEastAsia" w:hAnsiTheme="minorEastAsia"/>
                <w:bCs/>
                <w:bdr w:val="single" w:color="auto" w:sz="4" w:space="0"/>
              </w:rPr>
              <w:t>。</w:t>
            </w:r>
          </w:p>
        </w:tc>
        <w:tc>
          <w:tcPr>
            <w:tcW w:w="4261" w:type="dxa"/>
          </w:tcPr>
          <w:p w14:paraId="4DC466BD">
            <w:pPr>
              <w:rPr>
                <w:rFonts w:ascii="宋体" w:hAnsi="宋体" w:eastAsia="宋体"/>
                <w:bCs/>
              </w:rPr>
            </w:pPr>
            <w:r>
              <w:rPr>
                <w:rFonts w:hint="eastAsia" w:ascii="宋体" w:hAnsi="宋体" w:eastAsia="宋体"/>
                <w:bCs/>
              </w:rPr>
              <w:t>5.13.2 用房设置应符合下列要求：</w:t>
            </w:r>
          </w:p>
          <w:p w14:paraId="02A63841">
            <w:pPr>
              <w:ind w:firstLine="480" w:firstLineChars="200"/>
              <w:rPr>
                <w:rFonts w:ascii="宋体" w:hAnsi="宋体" w:eastAsia="宋体" w:cs="宋体"/>
                <w:bCs/>
              </w:rPr>
            </w:pPr>
            <w:r>
              <w:rPr>
                <w:rFonts w:hint="eastAsia" w:ascii="宋体" w:hAnsi="宋体" w:eastAsia="宋体" w:cs="宋体"/>
                <w:bCs/>
              </w:rPr>
              <w:t>1 应设临床检验、生化检验、微生物检验、血液实验、细胞检查、血清免疫、洗涤、试剂和材料库等用房；</w:t>
            </w:r>
          </w:p>
          <w:p w14:paraId="3DC8D60D">
            <w:pPr>
              <w:ind w:firstLine="480" w:firstLineChars="200"/>
              <w:rPr>
                <w:rFonts w:ascii="宋体" w:hAnsi="宋体" w:eastAsia="宋体" w:cs="宋体"/>
                <w:bCs/>
              </w:rPr>
            </w:pPr>
            <w:r>
              <w:rPr>
                <w:rFonts w:hint="eastAsia" w:ascii="宋体" w:hAnsi="宋体" w:eastAsia="宋体" w:cs="宋体"/>
                <w:bCs/>
              </w:rPr>
              <w:t>2 可设更衣、值班和办公等用房</w:t>
            </w:r>
            <w:r>
              <w:rPr>
                <w:rFonts w:hint="eastAsia" w:cs="宋体" w:asciiTheme="minorEastAsia" w:hAnsiTheme="minorEastAsia"/>
                <w:bCs/>
                <w:u w:val="single"/>
              </w:rPr>
              <w:t>；</w:t>
            </w:r>
          </w:p>
          <w:p w14:paraId="5CC892A8">
            <w:pPr>
              <w:ind w:firstLine="480" w:firstLineChars="200"/>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如设置P</w:t>
            </w:r>
            <w:r>
              <w:rPr>
                <w:rFonts w:ascii="宋体" w:hAnsi="宋体" w:eastAsia="宋体" w:cs="宋体"/>
                <w:bCs/>
                <w:u w:val="single"/>
              </w:rPr>
              <w:t>CR</w:t>
            </w:r>
            <w:r>
              <w:rPr>
                <w:rFonts w:hint="eastAsia" w:ascii="宋体" w:hAnsi="宋体" w:eastAsia="宋体" w:cs="宋体"/>
                <w:bCs/>
                <w:u w:val="single"/>
              </w:rPr>
              <w:t>实验室，</w:t>
            </w:r>
            <w:r>
              <w:rPr>
                <w:rFonts w:ascii="宋体" w:hAnsi="宋体" w:eastAsia="宋体" w:cs="宋体"/>
                <w:bCs/>
                <w:u w:val="single"/>
              </w:rPr>
              <w:t>PCR</w:t>
            </w:r>
            <w:r>
              <w:rPr>
                <w:rFonts w:hint="eastAsia" w:ascii="宋体" w:hAnsi="宋体" w:eastAsia="宋体" w:cs="宋体"/>
                <w:bCs/>
                <w:u w:val="single"/>
              </w:rPr>
              <w:t>实验室依次由试剂准备、标本制备、扩增、产物分析用房组成，各区设置应满足国家相关规范要求。</w:t>
            </w:r>
          </w:p>
        </w:tc>
      </w:tr>
      <w:tr w14:paraId="6A2C6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82CCC6C">
            <w:r>
              <w:rPr>
                <w:rFonts w:asciiTheme="minorEastAsia" w:hAnsiTheme="minorEastAsia"/>
                <w:bCs/>
              </w:rPr>
              <w:t xml:space="preserve">5.13.4 </w:t>
            </w:r>
            <w:r>
              <w:rPr>
                <w:rFonts w:hint="eastAsia" w:asciiTheme="minorEastAsia" w:hAnsiTheme="minorEastAsia"/>
                <w:bCs/>
                <w:bdr w:val="single" w:color="auto" w:sz="4" w:space="0"/>
              </w:rPr>
              <w:t>细菌检验的接种室与培养室之间应设传递窗。</w:t>
            </w:r>
          </w:p>
        </w:tc>
        <w:tc>
          <w:tcPr>
            <w:tcW w:w="4261" w:type="dxa"/>
          </w:tcPr>
          <w:p w14:paraId="69AB42BE">
            <w:r>
              <w:rPr>
                <w:rFonts w:asciiTheme="minorEastAsia" w:hAnsiTheme="minorEastAsia"/>
                <w:bCs/>
              </w:rPr>
              <w:t xml:space="preserve">5.13.4 </w:t>
            </w:r>
            <w:r>
              <w:rPr>
                <w:rFonts w:hint="eastAsia" w:asciiTheme="minorEastAsia" w:hAnsiTheme="minorEastAsia"/>
                <w:bCs/>
                <w:u w:val="single"/>
              </w:rPr>
              <w:t>实验室出入口应设手消和洗眼装置。</w:t>
            </w:r>
          </w:p>
        </w:tc>
      </w:tr>
      <w:tr w14:paraId="78F1A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4AF5C5D">
            <w:r>
              <w:rPr>
                <w:rFonts w:asciiTheme="minorEastAsia" w:hAnsiTheme="minorEastAsia"/>
                <w:bCs/>
              </w:rPr>
              <w:t xml:space="preserve">5.13.6 </w:t>
            </w:r>
            <w:r>
              <w:rPr>
                <w:rFonts w:hint="eastAsia" w:asciiTheme="minorEastAsia" w:hAnsiTheme="minorEastAsia"/>
                <w:bCs/>
              </w:rPr>
              <w:t>危险化学试剂附近应设有紧急洗眼处</w:t>
            </w:r>
            <w:r>
              <w:rPr>
                <w:rFonts w:hint="eastAsia" w:asciiTheme="minorEastAsia" w:hAnsiTheme="minorEastAsia"/>
                <w:bCs/>
                <w:bdr w:val="single" w:color="auto" w:sz="4" w:space="0"/>
              </w:rPr>
              <w:t>和淋浴</w:t>
            </w:r>
            <w:r>
              <w:rPr>
                <w:rFonts w:hint="eastAsia" w:asciiTheme="minorEastAsia" w:hAnsiTheme="minorEastAsia"/>
                <w:bCs/>
              </w:rPr>
              <w:t>。</w:t>
            </w:r>
          </w:p>
        </w:tc>
        <w:tc>
          <w:tcPr>
            <w:tcW w:w="4261" w:type="dxa"/>
          </w:tcPr>
          <w:p w14:paraId="16774729">
            <w:r>
              <w:rPr>
                <w:rFonts w:asciiTheme="minorEastAsia" w:hAnsiTheme="minorEastAsia"/>
                <w:bCs/>
              </w:rPr>
              <w:t xml:space="preserve">5.13.6 </w:t>
            </w:r>
            <w:r>
              <w:rPr>
                <w:rFonts w:hint="eastAsia" w:asciiTheme="minorEastAsia" w:hAnsiTheme="minorEastAsia"/>
                <w:bCs/>
              </w:rPr>
              <w:t>危险化学试剂附近应设有紧急洗眼处。</w:t>
            </w:r>
          </w:p>
        </w:tc>
      </w:tr>
      <w:tr w14:paraId="01423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AC191E9">
            <w:pPr>
              <w:jc w:val="center"/>
              <w:rPr>
                <w:rFonts w:asciiTheme="minorEastAsia" w:hAnsiTheme="minorEastAsia"/>
              </w:rPr>
            </w:pPr>
            <w:bookmarkStart w:id="17" w:name="_Toc85880734"/>
            <w:r>
              <w:rPr>
                <w:rFonts w:hint="eastAsia" w:asciiTheme="minorEastAsia" w:hAnsiTheme="minorEastAsia"/>
              </w:rPr>
              <w:t>5.14</w:t>
            </w:r>
            <w:r>
              <w:rPr>
                <w:rFonts w:asciiTheme="minorEastAsia" w:hAnsiTheme="minorEastAsia"/>
              </w:rPr>
              <w:t xml:space="preserve"> </w:t>
            </w:r>
            <w:r>
              <w:rPr>
                <w:rFonts w:hint="eastAsia" w:asciiTheme="minorEastAsia" w:hAnsiTheme="minorEastAsia"/>
              </w:rPr>
              <w:t>病理科用房</w:t>
            </w:r>
            <w:bookmarkEnd w:id="17"/>
          </w:p>
        </w:tc>
        <w:tc>
          <w:tcPr>
            <w:tcW w:w="4261" w:type="dxa"/>
          </w:tcPr>
          <w:p w14:paraId="1F079740">
            <w:pPr>
              <w:jc w:val="center"/>
              <w:rPr>
                <w:rFonts w:asciiTheme="minorEastAsia" w:hAnsiTheme="minorEastAsia"/>
              </w:rPr>
            </w:pPr>
            <w:r>
              <w:rPr>
                <w:rFonts w:hint="eastAsia" w:asciiTheme="minorEastAsia" w:hAnsiTheme="minorEastAsia"/>
              </w:rPr>
              <w:t>5.14</w:t>
            </w:r>
            <w:r>
              <w:rPr>
                <w:rFonts w:asciiTheme="minorEastAsia" w:hAnsiTheme="minorEastAsia"/>
              </w:rPr>
              <w:t xml:space="preserve"> </w:t>
            </w:r>
            <w:r>
              <w:rPr>
                <w:rFonts w:hint="eastAsia" w:asciiTheme="minorEastAsia" w:hAnsiTheme="minorEastAsia"/>
              </w:rPr>
              <w:t>病理科用房</w:t>
            </w:r>
          </w:p>
        </w:tc>
      </w:tr>
      <w:tr w14:paraId="0E38E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99AC20">
            <w:r>
              <w:rPr>
                <w:rFonts w:hint="eastAsia" w:asciiTheme="minorEastAsia" w:hAnsiTheme="minorEastAsia"/>
                <w:bCs/>
              </w:rPr>
              <w:t>5.14.1 病理科用房应自成一区，宜与手术部有便捷联系。</w:t>
            </w:r>
          </w:p>
        </w:tc>
        <w:tc>
          <w:tcPr>
            <w:tcW w:w="4261" w:type="dxa"/>
          </w:tcPr>
          <w:p w14:paraId="196D3938">
            <w:r>
              <w:rPr>
                <w:rFonts w:hint="eastAsia" w:asciiTheme="minorEastAsia" w:hAnsiTheme="minorEastAsia"/>
                <w:bCs/>
              </w:rPr>
              <w:t>5.14.1 病理科用房应自成一区，宜与手术部有便捷联系</w:t>
            </w:r>
            <w:r>
              <w:rPr>
                <w:rFonts w:hint="eastAsia" w:asciiTheme="minorEastAsia" w:hAnsiTheme="minorEastAsia"/>
                <w:bCs/>
                <w:u w:val="single"/>
              </w:rPr>
              <w:t>，术中快速病理应与手术部组合设计</w:t>
            </w:r>
            <w:r>
              <w:rPr>
                <w:rFonts w:hint="eastAsia" w:asciiTheme="minorEastAsia" w:hAnsiTheme="minorEastAsia"/>
                <w:bCs/>
              </w:rPr>
              <w:t>。</w:t>
            </w:r>
          </w:p>
        </w:tc>
      </w:tr>
      <w:tr w14:paraId="12AF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7EA99DD">
            <w:pPr>
              <w:rPr>
                <w:rFonts w:ascii="宋体" w:hAnsi="宋体" w:eastAsia="宋体"/>
                <w:bCs/>
              </w:rPr>
            </w:pPr>
            <w:r>
              <w:rPr>
                <w:rFonts w:hint="eastAsia" w:ascii="宋体" w:hAnsi="宋体" w:eastAsia="宋体"/>
                <w:bCs/>
              </w:rPr>
              <w:t>5.14.3</w:t>
            </w:r>
            <w:r>
              <w:rPr>
                <w:rFonts w:ascii="宋体" w:hAnsi="宋体" w:eastAsia="宋体"/>
                <w:bCs/>
              </w:rPr>
              <w:t xml:space="preserve"> </w:t>
            </w:r>
            <w:r>
              <w:rPr>
                <w:rFonts w:hint="eastAsia" w:ascii="宋体" w:hAnsi="宋体" w:eastAsia="宋体"/>
                <w:bCs/>
              </w:rPr>
              <w:t>用房设置应符合下列要求：</w:t>
            </w:r>
          </w:p>
          <w:p w14:paraId="3E1D7479">
            <w:pPr>
              <w:ind w:firstLine="480" w:firstLineChars="200"/>
              <w:rPr>
                <w:rFonts w:ascii="宋体" w:hAnsi="宋体" w:eastAsia="宋体" w:cs="宋体"/>
                <w:bCs/>
              </w:rPr>
            </w:pPr>
            <w:r>
              <w:rPr>
                <w:rFonts w:hint="eastAsia" w:ascii="宋体" w:hAnsi="宋体" w:eastAsia="宋体" w:cs="宋体"/>
                <w:bCs/>
              </w:rPr>
              <w:t>1 应设置取材、标本处理（脱水、染色、蜡包埋、切片）、制片、镜检、洗涤消毒和卫生通过等用房；</w:t>
            </w:r>
          </w:p>
          <w:p w14:paraId="0B0A20D9">
            <w:pPr>
              <w:ind w:firstLine="480" w:firstLineChars="200"/>
            </w:pPr>
            <w:r>
              <w:rPr>
                <w:rFonts w:hint="eastAsia" w:ascii="宋体" w:hAnsi="宋体" w:eastAsia="宋体" w:cs="宋体"/>
                <w:bCs/>
              </w:rPr>
              <w:t>2 可设置病理解剖和标本库用房。</w:t>
            </w:r>
          </w:p>
        </w:tc>
        <w:tc>
          <w:tcPr>
            <w:tcW w:w="4261" w:type="dxa"/>
          </w:tcPr>
          <w:p w14:paraId="1E9AE4F9">
            <w:pPr>
              <w:rPr>
                <w:rFonts w:ascii="宋体" w:hAnsi="宋体" w:eastAsia="宋体"/>
                <w:bCs/>
              </w:rPr>
            </w:pPr>
            <w:r>
              <w:rPr>
                <w:rFonts w:hint="eastAsia" w:ascii="宋体" w:hAnsi="宋体" w:eastAsia="宋体"/>
                <w:bCs/>
              </w:rPr>
              <w:t>5.14.3</w:t>
            </w:r>
            <w:r>
              <w:rPr>
                <w:rFonts w:ascii="宋体" w:hAnsi="宋体" w:eastAsia="宋体"/>
                <w:bCs/>
              </w:rPr>
              <w:t xml:space="preserve"> </w:t>
            </w:r>
            <w:r>
              <w:rPr>
                <w:rFonts w:hint="eastAsia" w:ascii="宋体" w:hAnsi="宋体" w:eastAsia="宋体"/>
                <w:bCs/>
              </w:rPr>
              <w:t>用房设置应符合下列要求：</w:t>
            </w:r>
          </w:p>
          <w:p w14:paraId="374EEA84">
            <w:pPr>
              <w:ind w:firstLine="480" w:firstLineChars="200"/>
              <w:rPr>
                <w:rFonts w:ascii="宋体" w:hAnsi="宋体" w:eastAsia="宋体" w:cs="宋体"/>
                <w:bCs/>
              </w:rPr>
            </w:pPr>
            <w:r>
              <w:rPr>
                <w:rFonts w:hint="eastAsia" w:ascii="宋体" w:hAnsi="宋体" w:eastAsia="宋体" w:cs="宋体"/>
                <w:bCs/>
              </w:rPr>
              <w:t>1 应设置取材、标本处理（脱水、染色、蜡包埋、切片）、制片、镜检、洗涤消毒和卫生通过等用房；</w:t>
            </w:r>
          </w:p>
          <w:p w14:paraId="69879D6C">
            <w:pPr>
              <w:ind w:firstLine="480" w:firstLineChars="200"/>
            </w:pPr>
            <w:r>
              <w:rPr>
                <w:rFonts w:hint="eastAsia" w:ascii="宋体" w:hAnsi="宋体" w:eastAsia="宋体" w:cs="宋体"/>
                <w:bCs/>
              </w:rPr>
              <w:t>2 可设置病理解剖</w:t>
            </w:r>
            <w:r>
              <w:rPr>
                <w:rFonts w:hint="eastAsia" w:ascii="宋体" w:hAnsi="宋体" w:eastAsia="宋体"/>
                <w:bCs/>
                <w:u w:val="single"/>
              </w:rPr>
              <w:t>、器械、洗涤、消毒</w:t>
            </w:r>
            <w:r>
              <w:rPr>
                <w:rFonts w:hint="eastAsia" w:ascii="宋体" w:hAnsi="宋体" w:eastAsia="宋体" w:cs="宋体"/>
                <w:bCs/>
              </w:rPr>
              <w:t>和标本库用房。</w:t>
            </w:r>
          </w:p>
        </w:tc>
      </w:tr>
      <w:tr w14:paraId="0E703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54DD8D">
            <w:pPr>
              <w:jc w:val="center"/>
            </w:pPr>
            <w:bookmarkStart w:id="18" w:name="_Toc85880736"/>
            <w:r>
              <w:rPr>
                <w:rFonts w:hint="eastAsia" w:cs="宋体" w:asciiTheme="minorEastAsia" w:hAnsiTheme="minorEastAsia"/>
                <w:szCs w:val="30"/>
              </w:rPr>
              <w:t>5.16</w:t>
            </w:r>
            <w:r>
              <w:rPr>
                <w:rFonts w:cs="宋体" w:asciiTheme="minorEastAsia" w:hAnsiTheme="minorEastAsia"/>
                <w:szCs w:val="30"/>
              </w:rPr>
              <w:t xml:space="preserve"> </w:t>
            </w:r>
            <w:r>
              <w:rPr>
                <w:rFonts w:hint="eastAsia" w:cs="宋体" w:asciiTheme="minorEastAsia" w:hAnsiTheme="minorEastAsia"/>
                <w:szCs w:val="30"/>
              </w:rPr>
              <w:t>内</w:t>
            </w:r>
            <w:r>
              <w:rPr>
                <w:rFonts w:hint="eastAsia" w:cs="宋体" w:asciiTheme="minorEastAsia" w:hAnsiTheme="minorEastAsia"/>
                <w:szCs w:val="30"/>
                <w:bdr w:val="single" w:color="auto" w:sz="4" w:space="0"/>
              </w:rPr>
              <w:t>窥</w:t>
            </w:r>
            <w:r>
              <w:rPr>
                <w:rFonts w:hint="eastAsia" w:cs="宋体" w:asciiTheme="minorEastAsia" w:hAnsiTheme="minorEastAsia"/>
                <w:szCs w:val="30"/>
              </w:rPr>
              <w:t>镜科用房</w:t>
            </w:r>
            <w:bookmarkEnd w:id="18"/>
          </w:p>
        </w:tc>
        <w:tc>
          <w:tcPr>
            <w:tcW w:w="4261" w:type="dxa"/>
          </w:tcPr>
          <w:p w14:paraId="49C46554">
            <w:pPr>
              <w:jc w:val="center"/>
            </w:pPr>
            <w:r>
              <w:rPr>
                <w:rFonts w:hint="eastAsia" w:asciiTheme="minorEastAsia" w:hAnsiTheme="minorEastAsia"/>
              </w:rPr>
              <w:t>5.16</w:t>
            </w:r>
            <w:r>
              <w:rPr>
                <w:rFonts w:asciiTheme="minorEastAsia" w:hAnsiTheme="minorEastAsia"/>
              </w:rPr>
              <w:t xml:space="preserve"> </w:t>
            </w:r>
            <w:r>
              <w:rPr>
                <w:rFonts w:hint="eastAsia" w:asciiTheme="minorEastAsia" w:hAnsiTheme="minorEastAsia"/>
              </w:rPr>
              <w:t>内镜科用房</w:t>
            </w:r>
          </w:p>
        </w:tc>
      </w:tr>
      <w:tr w14:paraId="49B48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13D74E5">
            <w:pPr>
              <w:rPr>
                <w:rFonts w:ascii="宋体" w:hAnsi="宋体" w:eastAsia="宋体"/>
                <w:bCs/>
              </w:rPr>
            </w:pPr>
            <w:r>
              <w:rPr>
                <w:rFonts w:hint="eastAsia" w:ascii="宋体" w:hAnsi="宋体" w:eastAsia="宋体"/>
                <w:bCs/>
              </w:rPr>
              <w:t>5.16.1 内</w:t>
            </w:r>
            <w:r>
              <w:rPr>
                <w:rFonts w:hint="eastAsia" w:ascii="宋体" w:hAnsi="宋体" w:eastAsia="宋体" w:cs="宋体"/>
                <w:bCs/>
                <w:bdr w:val="single" w:color="auto" w:sz="4" w:space="0"/>
              </w:rPr>
              <w:t>窥</w:t>
            </w:r>
            <w:r>
              <w:rPr>
                <w:rFonts w:hint="eastAsia" w:ascii="宋体" w:hAnsi="宋体" w:eastAsia="宋体"/>
                <w:bCs/>
              </w:rPr>
              <w:t>镜科用房位置与平面布置应符合下列要求：</w:t>
            </w:r>
          </w:p>
          <w:p w14:paraId="2DBA29F1">
            <w:pPr>
              <w:ind w:firstLine="480" w:firstLineChars="200"/>
              <w:rPr>
                <w:rFonts w:ascii="宋体" w:hAnsi="宋体" w:eastAsia="宋体" w:cs="宋体"/>
                <w:bCs/>
              </w:rPr>
            </w:pPr>
            <w:r>
              <w:rPr>
                <w:rFonts w:hint="eastAsia" w:ascii="宋体" w:hAnsi="宋体" w:eastAsia="宋体" w:cs="宋体"/>
                <w:bCs/>
              </w:rPr>
              <w:t>1 应自成一区，与门诊部有便捷联系；</w:t>
            </w:r>
          </w:p>
          <w:p w14:paraId="59E7D798">
            <w:pPr>
              <w:ind w:firstLine="480" w:firstLineChars="200"/>
            </w:pPr>
            <w:r>
              <w:rPr>
                <w:rFonts w:hint="eastAsia" w:ascii="宋体" w:hAnsi="宋体" w:eastAsia="宋体" w:cs="宋体"/>
                <w:bCs/>
              </w:rPr>
              <w:t>2 各检查室宜分别设置。上、下消化道检查室应分开设置。</w:t>
            </w:r>
          </w:p>
        </w:tc>
        <w:tc>
          <w:tcPr>
            <w:tcW w:w="4261" w:type="dxa"/>
          </w:tcPr>
          <w:p w14:paraId="2E46CDC8">
            <w:pPr>
              <w:rPr>
                <w:rFonts w:ascii="宋体" w:hAnsi="宋体" w:eastAsia="宋体"/>
                <w:bCs/>
              </w:rPr>
            </w:pPr>
            <w:r>
              <w:rPr>
                <w:rFonts w:hint="eastAsia" w:ascii="宋体" w:hAnsi="宋体" w:eastAsia="宋体"/>
                <w:bCs/>
              </w:rPr>
              <w:t>5.16.1 内镜科用房位置与平面布置应符合下列要求：</w:t>
            </w:r>
          </w:p>
          <w:p w14:paraId="6D512E7F">
            <w:pPr>
              <w:ind w:firstLine="480" w:firstLineChars="200"/>
              <w:rPr>
                <w:rFonts w:ascii="宋体" w:hAnsi="宋体" w:eastAsia="宋体" w:cs="宋体"/>
                <w:bCs/>
              </w:rPr>
            </w:pPr>
            <w:r>
              <w:rPr>
                <w:rFonts w:hint="eastAsia" w:ascii="宋体" w:hAnsi="宋体" w:eastAsia="宋体" w:cs="宋体"/>
                <w:bCs/>
              </w:rPr>
              <w:t>1 应自成一区，与门诊部有便捷联系；</w:t>
            </w:r>
          </w:p>
          <w:p w14:paraId="5E71AADB">
            <w:pPr>
              <w:ind w:firstLine="480" w:firstLineChars="200"/>
            </w:pPr>
            <w:r>
              <w:rPr>
                <w:rFonts w:hint="eastAsia" w:ascii="宋体" w:hAnsi="宋体" w:eastAsia="宋体" w:cs="宋体"/>
                <w:bCs/>
              </w:rPr>
              <w:t>2 各检查室宜分别设置。上、下消化道检查室应分开设置。</w:t>
            </w:r>
          </w:p>
        </w:tc>
      </w:tr>
      <w:tr w14:paraId="0E22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D118E7B">
            <w:pPr>
              <w:rPr>
                <w:rFonts w:ascii="宋体" w:hAnsi="宋体" w:eastAsia="宋体"/>
                <w:bCs/>
              </w:rPr>
            </w:pPr>
            <w:r>
              <w:rPr>
                <w:rFonts w:hint="eastAsia" w:ascii="宋体" w:hAnsi="宋体" w:eastAsia="宋体"/>
                <w:bCs/>
              </w:rPr>
              <w:t>5.16.2 用房设置应符合下列要求：</w:t>
            </w:r>
          </w:p>
          <w:p w14:paraId="1593E079">
            <w:pPr>
              <w:ind w:firstLine="480" w:firstLineChars="200"/>
              <w:rPr>
                <w:rFonts w:ascii="宋体" w:hAnsi="宋体" w:eastAsia="宋体" w:cs="宋体"/>
                <w:bCs/>
              </w:rPr>
            </w:pPr>
            <w:r>
              <w:rPr>
                <w:rFonts w:hint="eastAsia" w:ascii="宋体" w:hAnsi="宋体" w:eastAsia="宋体" w:cs="宋体"/>
                <w:bCs/>
              </w:rPr>
              <w:t>1 应设内</w:t>
            </w:r>
            <w:r>
              <w:rPr>
                <w:rFonts w:hint="eastAsia" w:ascii="宋体" w:hAnsi="宋体" w:eastAsia="宋体" w:cs="宋体"/>
                <w:bCs/>
                <w:bdr w:val="single" w:color="auto" w:sz="4" w:space="0"/>
              </w:rPr>
              <w:t>窥</w:t>
            </w:r>
            <w:r>
              <w:rPr>
                <w:rFonts w:hint="eastAsia" w:ascii="宋体" w:hAnsi="宋体" w:eastAsia="宋体" w:cs="宋体"/>
                <w:bCs/>
              </w:rPr>
              <w:t>镜（上消化道内</w:t>
            </w:r>
            <w:r>
              <w:rPr>
                <w:rFonts w:hint="eastAsia" w:ascii="宋体" w:hAnsi="宋体" w:eastAsia="宋体" w:cs="宋体"/>
                <w:bCs/>
                <w:bdr w:val="single" w:color="auto" w:sz="4" w:space="0"/>
              </w:rPr>
              <w:t>窥</w:t>
            </w:r>
            <w:r>
              <w:rPr>
                <w:rFonts w:hint="eastAsia" w:ascii="宋体" w:hAnsi="宋体" w:eastAsia="宋体" w:cs="宋体"/>
                <w:bCs/>
              </w:rPr>
              <w:t>镜、下消化道内</w:t>
            </w:r>
            <w:r>
              <w:rPr>
                <w:rFonts w:hint="eastAsia" w:ascii="宋体" w:hAnsi="宋体" w:eastAsia="宋体" w:cs="宋体"/>
                <w:bCs/>
                <w:bdr w:val="single" w:color="auto" w:sz="4" w:space="0"/>
              </w:rPr>
              <w:t>窥</w:t>
            </w:r>
            <w:r>
              <w:rPr>
                <w:rFonts w:hint="eastAsia" w:ascii="宋体" w:hAnsi="宋体" w:eastAsia="宋体" w:cs="宋体"/>
                <w:bCs/>
              </w:rPr>
              <w:t>镜、支气管镜、胆道镜等）检查、准备、处置、等候、</w:t>
            </w:r>
            <w:r>
              <w:rPr>
                <w:rFonts w:hint="eastAsia" w:ascii="宋体" w:hAnsi="宋体" w:eastAsia="宋体" w:cs="宋体"/>
                <w:bCs/>
                <w:bdr w:val="single" w:color="auto" w:sz="4" w:space="0"/>
              </w:rPr>
              <w:t>休息、卫生间、</w:t>
            </w:r>
            <w:r>
              <w:rPr>
                <w:rFonts w:hint="eastAsia" w:ascii="宋体" w:hAnsi="宋体" w:eastAsia="宋体" w:cs="宋体"/>
                <w:bCs/>
              </w:rPr>
              <w:t>患者和医护人员更衣等用房。下消化道检查应设置卫生间</w:t>
            </w:r>
            <w:r>
              <w:rPr>
                <w:rFonts w:hint="eastAsia" w:ascii="宋体" w:hAnsi="宋体" w:eastAsia="宋体" w:cs="宋体"/>
                <w:bCs/>
                <w:bdr w:val="single" w:color="auto" w:sz="4" w:space="0"/>
              </w:rPr>
              <w:t>、灌肠室</w:t>
            </w:r>
            <w:r>
              <w:rPr>
                <w:rFonts w:hint="eastAsia" w:ascii="宋体" w:hAnsi="宋体" w:eastAsia="宋体" w:cs="宋体"/>
                <w:bCs/>
              </w:rPr>
              <w:t>。</w:t>
            </w:r>
          </w:p>
          <w:p w14:paraId="651748FD">
            <w:pPr>
              <w:ind w:firstLine="480" w:firstLineChars="200"/>
            </w:pPr>
            <w:r>
              <w:rPr>
                <w:rFonts w:hint="eastAsia" w:ascii="宋体" w:hAnsi="宋体" w:eastAsia="宋体" w:cs="宋体"/>
                <w:bCs/>
              </w:rPr>
              <w:t>2 可设观察室。</w:t>
            </w:r>
          </w:p>
        </w:tc>
        <w:tc>
          <w:tcPr>
            <w:tcW w:w="4261" w:type="dxa"/>
          </w:tcPr>
          <w:p w14:paraId="4957F33E">
            <w:pPr>
              <w:rPr>
                <w:rFonts w:ascii="宋体" w:hAnsi="宋体" w:eastAsia="宋体"/>
                <w:bCs/>
              </w:rPr>
            </w:pPr>
            <w:r>
              <w:rPr>
                <w:rFonts w:hint="eastAsia" w:ascii="宋体" w:hAnsi="宋体" w:eastAsia="宋体"/>
                <w:bCs/>
              </w:rPr>
              <w:t>5.16.2 用房设置应符合下列要求：</w:t>
            </w:r>
          </w:p>
          <w:p w14:paraId="4E1B697D">
            <w:pPr>
              <w:ind w:firstLine="480" w:firstLineChars="200"/>
              <w:rPr>
                <w:rFonts w:ascii="宋体" w:hAnsi="宋体" w:eastAsia="宋体" w:cs="宋体"/>
                <w:bCs/>
              </w:rPr>
            </w:pPr>
            <w:r>
              <w:rPr>
                <w:rFonts w:hint="eastAsia" w:ascii="宋体" w:hAnsi="宋体" w:eastAsia="宋体" w:cs="宋体"/>
                <w:bCs/>
              </w:rPr>
              <w:t>1 应设内镜（上消化道内镜、下消化道内镜、支气管镜、胆道镜等）检查、准备、处置、等候、</w:t>
            </w:r>
            <w:r>
              <w:rPr>
                <w:rFonts w:ascii="宋体" w:hAnsi="宋体" w:eastAsia="宋体"/>
                <w:u w:val="single"/>
              </w:rPr>
              <w:t>术后恢复室、</w:t>
            </w:r>
            <w:r>
              <w:rPr>
                <w:rFonts w:hint="eastAsia" w:ascii="宋体" w:hAnsi="宋体" w:eastAsia="宋体" w:cs="宋体"/>
                <w:bCs/>
              </w:rPr>
              <w:t>患者和医护人员更衣</w:t>
            </w:r>
            <w:r>
              <w:rPr>
                <w:rFonts w:hint="eastAsia" w:ascii="宋体" w:hAnsi="宋体" w:eastAsia="宋体" w:cs="宋体"/>
                <w:bCs/>
                <w:u w:val="single"/>
              </w:rPr>
              <w:t>、</w:t>
            </w:r>
            <w:r>
              <w:rPr>
                <w:rFonts w:hint="eastAsia" w:ascii="宋体" w:hAnsi="宋体" w:eastAsia="宋体"/>
                <w:u w:val="single"/>
              </w:rPr>
              <w:t>医护卫生间</w:t>
            </w:r>
            <w:r>
              <w:rPr>
                <w:rFonts w:hint="eastAsia" w:ascii="宋体" w:hAnsi="宋体" w:eastAsia="宋体" w:cs="宋体"/>
                <w:bCs/>
              </w:rPr>
              <w:t>等用房。下消化道检查应设置卫生间。</w:t>
            </w:r>
          </w:p>
          <w:p w14:paraId="0CAAC3B2">
            <w:pPr>
              <w:ind w:firstLine="480" w:firstLineChars="200"/>
            </w:pPr>
            <w:r>
              <w:rPr>
                <w:rFonts w:hint="eastAsia" w:ascii="宋体" w:hAnsi="宋体" w:eastAsia="宋体" w:cs="宋体"/>
                <w:bCs/>
              </w:rPr>
              <w:t>2 可设观察室</w:t>
            </w:r>
            <w:r>
              <w:rPr>
                <w:rFonts w:hint="eastAsia" w:ascii="宋体" w:hAnsi="宋体" w:eastAsia="宋体" w:cs="宋体"/>
                <w:bCs/>
                <w:u w:val="single"/>
              </w:rPr>
              <w:t>、</w:t>
            </w:r>
            <w:r>
              <w:rPr>
                <w:rFonts w:hint="eastAsia" w:ascii="宋体" w:hAnsi="宋体" w:eastAsia="宋体"/>
                <w:u w:val="single"/>
              </w:rPr>
              <w:t>无痛内镜麻醉评估室</w:t>
            </w:r>
            <w:r>
              <w:rPr>
                <w:rFonts w:hint="eastAsia" w:ascii="宋体" w:hAnsi="宋体" w:eastAsia="宋体" w:cs="宋体"/>
                <w:bCs/>
              </w:rPr>
              <w:t>。</w:t>
            </w:r>
          </w:p>
        </w:tc>
      </w:tr>
      <w:tr w14:paraId="53D01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FCA2759">
            <w:r>
              <w:rPr>
                <w:rFonts w:hint="eastAsia" w:asciiTheme="minorEastAsia" w:hAnsiTheme="minorEastAsia"/>
                <w:bCs/>
              </w:rPr>
              <w:t>5.16.3 检查室</w:t>
            </w:r>
            <w:r>
              <w:rPr>
                <w:rFonts w:hint="eastAsia" w:asciiTheme="minorEastAsia" w:hAnsiTheme="minorEastAsia"/>
                <w:bCs/>
                <w:bdr w:val="single" w:color="auto" w:sz="4" w:space="0"/>
              </w:rPr>
              <w:t>应设置固定于墙上的观片灯</w:t>
            </w:r>
            <w:r>
              <w:rPr>
                <w:rFonts w:hint="eastAsia" w:asciiTheme="minorEastAsia" w:hAnsiTheme="minorEastAsia"/>
                <w:bCs/>
              </w:rPr>
              <w:t>，</w:t>
            </w:r>
            <w:r>
              <w:rPr>
                <w:rFonts w:hint="eastAsia" w:asciiTheme="minorEastAsia" w:hAnsiTheme="minorEastAsia"/>
                <w:bCs/>
                <w:bdr w:val="single" w:color="auto" w:sz="4" w:space="0"/>
              </w:rPr>
              <w:t>宜</w:t>
            </w:r>
            <w:r>
              <w:rPr>
                <w:rFonts w:hint="eastAsia" w:asciiTheme="minorEastAsia" w:hAnsiTheme="minorEastAsia"/>
                <w:bCs/>
              </w:rPr>
              <w:t>配置医疗气体系统终端。</w:t>
            </w:r>
          </w:p>
        </w:tc>
        <w:tc>
          <w:tcPr>
            <w:tcW w:w="4261" w:type="dxa"/>
          </w:tcPr>
          <w:p w14:paraId="19545867">
            <w:r>
              <w:rPr>
                <w:rFonts w:hint="eastAsia" w:asciiTheme="minorEastAsia" w:hAnsiTheme="minorEastAsia"/>
                <w:bCs/>
              </w:rPr>
              <w:t>5.16.3 检查室</w:t>
            </w:r>
            <w:r>
              <w:rPr>
                <w:rFonts w:hint="eastAsia" w:asciiTheme="minorEastAsia" w:hAnsiTheme="minorEastAsia"/>
                <w:u w:val="single"/>
              </w:rPr>
              <w:t>宜设置吊塔</w:t>
            </w:r>
            <w:r>
              <w:rPr>
                <w:rFonts w:hint="eastAsia" w:asciiTheme="minorEastAsia" w:hAnsiTheme="minorEastAsia"/>
                <w:bCs/>
              </w:rPr>
              <w:t>，</w:t>
            </w:r>
            <w:r>
              <w:rPr>
                <w:rFonts w:hint="eastAsia" w:asciiTheme="minorEastAsia" w:hAnsiTheme="minorEastAsia"/>
                <w:bCs/>
                <w:u w:val="single"/>
              </w:rPr>
              <w:t>应</w:t>
            </w:r>
            <w:r>
              <w:rPr>
                <w:rFonts w:hint="eastAsia" w:asciiTheme="minorEastAsia" w:hAnsiTheme="minorEastAsia"/>
                <w:bCs/>
              </w:rPr>
              <w:t>配置医疗气体系统终端。</w:t>
            </w:r>
          </w:p>
        </w:tc>
      </w:tr>
      <w:tr w14:paraId="65225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2065077">
            <w:r>
              <w:rPr>
                <w:rFonts w:hint="eastAsia" w:asciiTheme="minorEastAsia" w:hAnsiTheme="minorEastAsia"/>
                <w:bCs/>
              </w:rPr>
              <w:t>5.16.4 内</w:t>
            </w:r>
            <w:r>
              <w:rPr>
                <w:rFonts w:hint="eastAsia" w:cs="宋体" w:asciiTheme="minorEastAsia" w:hAnsiTheme="minorEastAsia"/>
                <w:bCs/>
                <w:bdr w:val="single" w:color="auto" w:sz="4" w:space="0"/>
              </w:rPr>
              <w:t>窥</w:t>
            </w:r>
            <w:r>
              <w:rPr>
                <w:rFonts w:hint="eastAsia" w:asciiTheme="minorEastAsia" w:hAnsiTheme="minorEastAsia"/>
                <w:bCs/>
              </w:rPr>
              <w:t>镜科区域内应设置内镜洗涤消毒设施，且上、下消化道镜应分别设置。</w:t>
            </w:r>
          </w:p>
        </w:tc>
        <w:tc>
          <w:tcPr>
            <w:tcW w:w="4261" w:type="dxa"/>
          </w:tcPr>
          <w:p w14:paraId="7749CBF4">
            <w:r>
              <w:rPr>
                <w:rFonts w:hint="eastAsia" w:asciiTheme="minorEastAsia" w:hAnsiTheme="minorEastAsia"/>
                <w:bCs/>
              </w:rPr>
              <w:t>5.16.4 内镜科区域内应设置内镜洗涤消毒设施，且上、下消化道镜</w:t>
            </w:r>
            <w:r>
              <w:rPr>
                <w:rFonts w:hint="eastAsia" w:asciiTheme="minorEastAsia" w:hAnsiTheme="minorEastAsia"/>
                <w:u w:val="single"/>
              </w:rPr>
              <w:t>、支气管镜等</w:t>
            </w:r>
            <w:r>
              <w:rPr>
                <w:rFonts w:hint="eastAsia" w:asciiTheme="minorEastAsia" w:hAnsiTheme="minorEastAsia"/>
                <w:bCs/>
              </w:rPr>
              <w:t>应分别设置。</w:t>
            </w:r>
          </w:p>
        </w:tc>
      </w:tr>
      <w:tr w14:paraId="304CF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08BE125">
            <w:pPr>
              <w:jc w:val="center"/>
              <w:rPr>
                <w:rFonts w:asciiTheme="minorEastAsia" w:hAnsiTheme="minorEastAsia"/>
              </w:rPr>
            </w:pPr>
            <w:bookmarkStart w:id="19" w:name="_Toc85880737"/>
            <w:r>
              <w:rPr>
                <w:rFonts w:hint="eastAsia" w:asciiTheme="minorEastAsia" w:hAnsiTheme="minorEastAsia"/>
              </w:rPr>
              <w:t>5.17 理疗科用房</w:t>
            </w:r>
            <w:bookmarkEnd w:id="19"/>
          </w:p>
        </w:tc>
        <w:tc>
          <w:tcPr>
            <w:tcW w:w="4261" w:type="dxa"/>
          </w:tcPr>
          <w:p w14:paraId="41493397">
            <w:pPr>
              <w:jc w:val="center"/>
              <w:rPr>
                <w:rFonts w:asciiTheme="minorEastAsia" w:hAnsiTheme="minorEastAsia"/>
              </w:rPr>
            </w:pPr>
            <w:r>
              <w:rPr>
                <w:rFonts w:hint="eastAsia" w:asciiTheme="minorEastAsia" w:hAnsiTheme="minorEastAsia"/>
              </w:rPr>
              <w:t>5.17 理疗科用房</w:t>
            </w:r>
          </w:p>
        </w:tc>
      </w:tr>
      <w:tr w14:paraId="088F3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13D6EBE5">
            <w:r>
              <w:rPr>
                <w:rFonts w:hint="eastAsia" w:asciiTheme="minorEastAsia" w:hAnsiTheme="minorEastAsia"/>
                <w:bCs/>
              </w:rPr>
              <w:t>5.17.2 理疗科设计应符合现行行业标准</w:t>
            </w:r>
            <w:r>
              <w:rPr>
                <w:rFonts w:hint="eastAsia" w:asciiTheme="minorEastAsia" w:hAnsiTheme="minorEastAsia"/>
                <w:bCs/>
                <w:bdr w:val="single" w:color="auto" w:sz="4" w:space="0"/>
              </w:rPr>
              <w:t>《疗养院建筑设计规范》JGJ40</w:t>
            </w:r>
            <w:r>
              <w:rPr>
                <w:rFonts w:hint="eastAsia" w:asciiTheme="minorEastAsia" w:hAnsiTheme="minorEastAsia"/>
                <w:bCs/>
              </w:rPr>
              <w:t>的有关规定。</w:t>
            </w:r>
          </w:p>
        </w:tc>
        <w:tc>
          <w:tcPr>
            <w:tcW w:w="4261" w:type="dxa"/>
          </w:tcPr>
          <w:p w14:paraId="372459A1">
            <w:r>
              <w:rPr>
                <w:rFonts w:hint="eastAsia" w:asciiTheme="minorEastAsia" w:hAnsiTheme="minorEastAsia"/>
                <w:bCs/>
              </w:rPr>
              <w:t>5.17.2 理疗科设计应符合现行行业标准的有关规定。</w:t>
            </w:r>
          </w:p>
        </w:tc>
      </w:tr>
      <w:tr w14:paraId="23D2B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9B59FC9">
            <w:pPr>
              <w:jc w:val="center"/>
              <w:rPr>
                <w:rFonts w:asciiTheme="minorEastAsia" w:hAnsiTheme="minorEastAsia"/>
              </w:rPr>
            </w:pPr>
            <w:bookmarkStart w:id="20" w:name="_Toc85880738"/>
            <w:r>
              <w:rPr>
                <w:rFonts w:hint="eastAsia" w:asciiTheme="minorEastAsia" w:hAnsiTheme="minorEastAsia"/>
              </w:rPr>
              <w:t>5.18</w:t>
            </w:r>
            <w:r>
              <w:rPr>
                <w:rFonts w:asciiTheme="minorEastAsia" w:hAnsiTheme="minorEastAsia"/>
              </w:rPr>
              <w:t xml:space="preserve"> </w:t>
            </w:r>
            <w:r>
              <w:rPr>
                <w:rFonts w:hint="eastAsia" w:asciiTheme="minorEastAsia" w:hAnsiTheme="minorEastAsia"/>
              </w:rPr>
              <w:t>输血科（血库）用房</w:t>
            </w:r>
            <w:bookmarkEnd w:id="20"/>
          </w:p>
        </w:tc>
        <w:tc>
          <w:tcPr>
            <w:tcW w:w="4261" w:type="dxa"/>
          </w:tcPr>
          <w:p w14:paraId="47BFCAC5">
            <w:pPr>
              <w:jc w:val="center"/>
              <w:rPr>
                <w:rFonts w:asciiTheme="minorEastAsia" w:hAnsiTheme="minorEastAsia"/>
              </w:rPr>
            </w:pPr>
            <w:r>
              <w:rPr>
                <w:rFonts w:hint="eastAsia" w:asciiTheme="minorEastAsia" w:hAnsiTheme="minorEastAsia"/>
              </w:rPr>
              <w:t>5.18</w:t>
            </w:r>
            <w:r>
              <w:rPr>
                <w:rFonts w:asciiTheme="minorEastAsia" w:hAnsiTheme="minorEastAsia"/>
              </w:rPr>
              <w:t xml:space="preserve"> </w:t>
            </w:r>
            <w:r>
              <w:rPr>
                <w:rFonts w:hint="eastAsia" w:asciiTheme="minorEastAsia" w:hAnsiTheme="minorEastAsia"/>
              </w:rPr>
              <w:t>输血科（血库）用房</w:t>
            </w:r>
          </w:p>
        </w:tc>
      </w:tr>
      <w:tr w14:paraId="0F923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6F68897">
            <w:r>
              <w:rPr>
                <w:rFonts w:hint="eastAsia" w:asciiTheme="minorEastAsia" w:hAnsiTheme="minorEastAsia"/>
                <w:bCs/>
              </w:rPr>
              <w:t>5.18.2 输血科应设置配血、贮血、发血、</w:t>
            </w:r>
            <w:r>
              <w:rPr>
                <w:rFonts w:hint="eastAsia" w:asciiTheme="minorEastAsia" w:hAnsiTheme="minorEastAsia"/>
                <w:bCs/>
                <w:bdr w:val="single" w:color="auto" w:sz="4" w:space="0"/>
              </w:rPr>
              <w:t>清洗、消毒</w:t>
            </w:r>
            <w:r>
              <w:rPr>
                <w:rFonts w:hint="eastAsia" w:asciiTheme="minorEastAsia" w:hAnsiTheme="minorEastAsia"/>
                <w:bCs/>
              </w:rPr>
              <w:t>、更衣、卫生间等用房。</w:t>
            </w:r>
          </w:p>
        </w:tc>
        <w:tc>
          <w:tcPr>
            <w:tcW w:w="4261" w:type="dxa"/>
          </w:tcPr>
          <w:p w14:paraId="1AE2F308">
            <w:r>
              <w:rPr>
                <w:rFonts w:hint="eastAsia" w:asciiTheme="minorEastAsia" w:hAnsiTheme="minorEastAsia"/>
                <w:bCs/>
              </w:rPr>
              <w:t>5.18.2 输血科应设置配血、贮血、发血、</w:t>
            </w:r>
            <w:r>
              <w:rPr>
                <w:rFonts w:hint="eastAsia" w:asciiTheme="minorEastAsia" w:hAnsiTheme="minorEastAsia"/>
                <w:bCs/>
                <w:u w:val="single"/>
              </w:rPr>
              <w:t>值班</w:t>
            </w:r>
            <w:r>
              <w:rPr>
                <w:rFonts w:hint="eastAsia" w:asciiTheme="minorEastAsia" w:hAnsiTheme="minorEastAsia"/>
                <w:bCs/>
              </w:rPr>
              <w:t>、更衣、卫生间等用房。</w:t>
            </w:r>
          </w:p>
        </w:tc>
      </w:tr>
      <w:tr w14:paraId="60FC6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81A20CB">
            <w:pPr>
              <w:jc w:val="center"/>
              <w:rPr>
                <w:rFonts w:asciiTheme="minorEastAsia" w:hAnsiTheme="minorEastAsia"/>
              </w:rPr>
            </w:pPr>
            <w:bookmarkStart w:id="21" w:name="_Toc85880739"/>
            <w:r>
              <w:rPr>
                <w:rFonts w:hint="eastAsia" w:asciiTheme="minorEastAsia" w:hAnsiTheme="minorEastAsia"/>
              </w:rPr>
              <w:t>5.19</w:t>
            </w:r>
            <w:r>
              <w:rPr>
                <w:rFonts w:asciiTheme="minorEastAsia" w:hAnsiTheme="minorEastAsia"/>
              </w:rPr>
              <w:t xml:space="preserve"> </w:t>
            </w:r>
            <w:r>
              <w:rPr>
                <w:rFonts w:hint="eastAsia" w:asciiTheme="minorEastAsia" w:hAnsiTheme="minorEastAsia"/>
              </w:rPr>
              <w:t>药剂科用房</w:t>
            </w:r>
            <w:bookmarkEnd w:id="21"/>
          </w:p>
        </w:tc>
        <w:tc>
          <w:tcPr>
            <w:tcW w:w="4261" w:type="dxa"/>
          </w:tcPr>
          <w:p w14:paraId="1D690548">
            <w:pPr>
              <w:jc w:val="center"/>
              <w:rPr>
                <w:rFonts w:asciiTheme="minorEastAsia" w:hAnsiTheme="minorEastAsia"/>
              </w:rPr>
            </w:pPr>
            <w:r>
              <w:rPr>
                <w:rFonts w:hint="eastAsia" w:asciiTheme="minorEastAsia" w:hAnsiTheme="minorEastAsia"/>
              </w:rPr>
              <w:t>5.19</w:t>
            </w:r>
            <w:r>
              <w:rPr>
                <w:rFonts w:asciiTheme="minorEastAsia" w:hAnsiTheme="minorEastAsia"/>
              </w:rPr>
              <w:t xml:space="preserve"> </w:t>
            </w:r>
            <w:r>
              <w:rPr>
                <w:rFonts w:hint="eastAsia" w:asciiTheme="minorEastAsia" w:hAnsiTheme="minorEastAsia"/>
              </w:rPr>
              <w:t>药剂科用房</w:t>
            </w:r>
          </w:p>
        </w:tc>
      </w:tr>
      <w:tr w14:paraId="5DDC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DF94523">
            <w:pPr>
              <w:rPr>
                <w:rFonts w:ascii="宋体" w:hAnsi="宋体" w:eastAsia="宋体"/>
                <w:bCs/>
              </w:rPr>
            </w:pPr>
            <w:r>
              <w:rPr>
                <w:rFonts w:hint="eastAsia" w:ascii="宋体" w:hAnsi="宋体" w:eastAsia="宋体"/>
                <w:bCs/>
              </w:rPr>
              <w:t>5.19.1 药剂科用房位置与平面布置应符合下列要求：</w:t>
            </w:r>
          </w:p>
          <w:p w14:paraId="6EDE4114">
            <w:pPr>
              <w:ind w:firstLine="480" w:firstLineChars="200"/>
              <w:rPr>
                <w:rFonts w:ascii="宋体" w:hAnsi="宋体" w:eastAsia="宋体" w:cs="宋体"/>
                <w:bCs/>
              </w:rPr>
            </w:pPr>
            <w:r>
              <w:rPr>
                <w:rFonts w:hint="eastAsia" w:ascii="宋体" w:hAnsi="宋体" w:eastAsia="宋体" w:cs="宋体"/>
                <w:bCs/>
              </w:rPr>
              <w:t>1 门诊、急诊药房与住院部药房应分别设置；</w:t>
            </w:r>
          </w:p>
          <w:p w14:paraId="5F7395A6">
            <w:pPr>
              <w:ind w:firstLine="480" w:firstLineChars="200"/>
              <w:rPr>
                <w:rFonts w:ascii="宋体" w:hAnsi="宋体" w:eastAsia="宋体" w:cs="宋体"/>
                <w:bCs/>
              </w:rPr>
            </w:pPr>
            <w:r>
              <w:rPr>
                <w:rFonts w:hint="eastAsia" w:ascii="宋体" w:hAnsi="宋体" w:eastAsia="宋体" w:cs="宋体"/>
                <w:bCs/>
              </w:rPr>
              <w:t>2 药库和中药煎药处均应单独设置房间；</w:t>
            </w:r>
          </w:p>
          <w:p w14:paraId="7040E508">
            <w:pPr>
              <w:ind w:firstLine="480" w:firstLineChars="200"/>
              <w:rPr>
                <w:rFonts w:ascii="宋体" w:hAnsi="宋体" w:eastAsia="宋体" w:cs="宋体"/>
                <w:bCs/>
              </w:rPr>
            </w:pPr>
            <w:r>
              <w:rPr>
                <w:rFonts w:hint="eastAsia" w:ascii="宋体" w:hAnsi="宋体" w:eastAsia="宋体" w:cs="宋体"/>
                <w:bCs/>
              </w:rPr>
              <w:t>3 门诊、急诊药房宜分别设中、西药房；</w:t>
            </w:r>
          </w:p>
          <w:p w14:paraId="049F5B0C">
            <w:pPr>
              <w:ind w:firstLine="480" w:firstLineChars="200"/>
            </w:pPr>
            <w:r>
              <w:rPr>
                <w:rFonts w:hint="eastAsia" w:ascii="宋体" w:hAnsi="宋体" w:eastAsia="宋体" w:cs="宋体"/>
                <w:bCs/>
              </w:rPr>
              <w:t>4 儿科和</w:t>
            </w:r>
            <w:r>
              <w:rPr>
                <w:rFonts w:hint="eastAsia" w:ascii="宋体" w:hAnsi="宋体" w:eastAsia="宋体" w:cs="宋体"/>
                <w:bCs/>
                <w:bdr w:val="single" w:color="auto" w:sz="4" w:space="0"/>
              </w:rPr>
              <w:t>各传染</w:t>
            </w:r>
            <w:r>
              <w:rPr>
                <w:rFonts w:hint="eastAsia" w:ascii="宋体" w:hAnsi="宋体" w:eastAsia="宋体" w:cs="宋体"/>
                <w:bCs/>
              </w:rPr>
              <w:t>病科门诊宜设单独发药处。</w:t>
            </w:r>
          </w:p>
        </w:tc>
        <w:tc>
          <w:tcPr>
            <w:tcW w:w="4261" w:type="dxa"/>
          </w:tcPr>
          <w:p w14:paraId="707487A4">
            <w:pPr>
              <w:rPr>
                <w:rFonts w:ascii="宋体" w:hAnsi="宋体" w:eastAsia="宋体"/>
                <w:bCs/>
              </w:rPr>
            </w:pPr>
            <w:r>
              <w:rPr>
                <w:rFonts w:hint="eastAsia" w:ascii="宋体" w:hAnsi="宋体" w:eastAsia="宋体"/>
                <w:bCs/>
              </w:rPr>
              <w:t>5.19.1 药剂科用房位置与平面布置应符合下列要求：</w:t>
            </w:r>
          </w:p>
          <w:p w14:paraId="418485D4">
            <w:pPr>
              <w:ind w:firstLine="480" w:firstLineChars="200"/>
              <w:rPr>
                <w:rFonts w:ascii="宋体" w:hAnsi="宋体" w:eastAsia="宋体" w:cs="宋体"/>
                <w:bCs/>
              </w:rPr>
            </w:pPr>
            <w:r>
              <w:rPr>
                <w:rFonts w:hint="eastAsia" w:ascii="宋体" w:hAnsi="宋体" w:eastAsia="宋体" w:cs="宋体"/>
                <w:bCs/>
              </w:rPr>
              <w:t>1 门诊、急诊药房与住院部药房应分别设置；</w:t>
            </w:r>
          </w:p>
          <w:p w14:paraId="140EFB8C">
            <w:pPr>
              <w:ind w:firstLine="480" w:firstLineChars="200"/>
              <w:rPr>
                <w:rFonts w:ascii="宋体" w:hAnsi="宋体" w:eastAsia="宋体" w:cs="宋体"/>
                <w:bCs/>
              </w:rPr>
            </w:pPr>
            <w:r>
              <w:rPr>
                <w:rFonts w:hint="eastAsia" w:ascii="宋体" w:hAnsi="宋体" w:eastAsia="宋体" w:cs="宋体"/>
                <w:bCs/>
              </w:rPr>
              <w:t>2 药库和中药煎药处均应单独设置房间；</w:t>
            </w:r>
          </w:p>
          <w:p w14:paraId="1DD4E20F">
            <w:pPr>
              <w:ind w:firstLine="480" w:firstLineChars="200"/>
              <w:rPr>
                <w:rFonts w:ascii="宋体" w:hAnsi="宋体" w:eastAsia="宋体" w:cs="宋体"/>
                <w:bCs/>
              </w:rPr>
            </w:pPr>
            <w:r>
              <w:rPr>
                <w:rFonts w:hint="eastAsia" w:ascii="宋体" w:hAnsi="宋体" w:eastAsia="宋体" w:cs="宋体"/>
                <w:bCs/>
              </w:rPr>
              <w:t>3 门诊、急诊药房宜分别设中、西药房；</w:t>
            </w:r>
          </w:p>
          <w:p w14:paraId="0AF115C5">
            <w:pPr>
              <w:ind w:firstLine="480" w:firstLineChars="200"/>
            </w:pPr>
            <w:r>
              <w:rPr>
                <w:rFonts w:hint="eastAsia" w:ascii="宋体" w:hAnsi="宋体" w:eastAsia="宋体" w:cs="宋体"/>
                <w:bCs/>
              </w:rPr>
              <w:t>4 儿科和</w:t>
            </w:r>
            <w:r>
              <w:rPr>
                <w:rFonts w:hint="eastAsia" w:ascii="宋体" w:hAnsi="宋体" w:eastAsia="宋体" w:cs="宋体"/>
                <w:bCs/>
                <w:u w:val="single"/>
              </w:rPr>
              <w:t>感染疾</w:t>
            </w:r>
            <w:r>
              <w:rPr>
                <w:rFonts w:hint="eastAsia" w:ascii="宋体" w:hAnsi="宋体" w:eastAsia="宋体" w:cs="宋体"/>
                <w:bCs/>
              </w:rPr>
              <w:t>病科门诊宜设单独发药处。</w:t>
            </w:r>
          </w:p>
        </w:tc>
      </w:tr>
      <w:tr w14:paraId="43AE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DEA7B0D">
            <w:pPr>
              <w:rPr>
                <w:rFonts w:ascii="宋体" w:hAnsi="宋体" w:eastAsia="宋体"/>
                <w:bCs/>
              </w:rPr>
            </w:pPr>
            <w:r>
              <w:rPr>
                <w:rFonts w:hint="eastAsia" w:ascii="宋体" w:hAnsi="宋体" w:eastAsia="宋体"/>
                <w:bCs/>
              </w:rPr>
              <w:t>5.19.2 用房设置应符合下列要求：</w:t>
            </w:r>
          </w:p>
          <w:p w14:paraId="277F9C28">
            <w:pPr>
              <w:ind w:firstLine="480" w:firstLineChars="200"/>
              <w:rPr>
                <w:rFonts w:ascii="宋体" w:hAnsi="宋体" w:eastAsia="宋体" w:cs="宋体"/>
                <w:bCs/>
              </w:rPr>
            </w:pPr>
            <w:r>
              <w:rPr>
                <w:rFonts w:hint="eastAsia" w:ascii="宋体" w:hAnsi="宋体" w:eastAsia="宋体" w:cs="宋体"/>
                <w:bCs/>
              </w:rPr>
              <w:t>1 门诊药房应设发药、调剂、药库、办公、值班和更衣等用房；</w:t>
            </w:r>
          </w:p>
          <w:p w14:paraId="65967CE0">
            <w:pPr>
              <w:ind w:firstLine="480" w:firstLineChars="200"/>
              <w:rPr>
                <w:rFonts w:ascii="宋体" w:hAnsi="宋体" w:eastAsia="宋体" w:cs="宋体"/>
                <w:bCs/>
              </w:rPr>
            </w:pPr>
            <w:r>
              <w:rPr>
                <w:rFonts w:hint="eastAsia" w:ascii="宋体" w:hAnsi="宋体" w:eastAsia="宋体" w:cs="宋体"/>
                <w:bCs/>
              </w:rPr>
              <w:t>2 住院药房应设摆药、药库、发药、办公、值班和更衣等用房；</w:t>
            </w:r>
          </w:p>
          <w:p w14:paraId="59418F1D">
            <w:pPr>
              <w:ind w:firstLine="480" w:firstLineChars="200"/>
              <w:rPr>
                <w:rFonts w:ascii="宋体" w:hAnsi="宋体" w:eastAsia="宋体" w:cs="宋体"/>
                <w:bCs/>
              </w:rPr>
            </w:pPr>
            <w:r>
              <w:rPr>
                <w:rFonts w:hint="eastAsia" w:ascii="宋体" w:hAnsi="宋体" w:eastAsia="宋体" w:cs="宋体"/>
                <w:bCs/>
              </w:rPr>
              <w:t>3 中药房应设置中成药库、中草药库和煎药室；</w:t>
            </w:r>
          </w:p>
          <w:p w14:paraId="431C4166">
            <w:pPr>
              <w:ind w:firstLine="480" w:firstLineChars="200"/>
            </w:pPr>
            <w:r>
              <w:rPr>
                <w:rFonts w:hint="eastAsia" w:ascii="宋体" w:hAnsi="宋体" w:eastAsia="宋体" w:cs="宋体"/>
                <w:bCs/>
              </w:rPr>
              <w:t>4 可设一级药品库、办公、值班和卫生间等用房。</w:t>
            </w:r>
          </w:p>
        </w:tc>
        <w:tc>
          <w:tcPr>
            <w:tcW w:w="4261" w:type="dxa"/>
          </w:tcPr>
          <w:p w14:paraId="2E05B52E">
            <w:pPr>
              <w:rPr>
                <w:rFonts w:ascii="宋体" w:hAnsi="宋体" w:eastAsia="宋体"/>
                <w:bCs/>
              </w:rPr>
            </w:pPr>
            <w:r>
              <w:rPr>
                <w:rFonts w:hint="eastAsia" w:ascii="宋体" w:hAnsi="宋体" w:eastAsia="宋体"/>
                <w:bCs/>
              </w:rPr>
              <w:t>5.19.2 用房设置应符合下列要求：</w:t>
            </w:r>
          </w:p>
          <w:p w14:paraId="2C04785C">
            <w:pPr>
              <w:ind w:firstLine="480" w:firstLineChars="200"/>
              <w:rPr>
                <w:rFonts w:ascii="宋体" w:hAnsi="宋体" w:eastAsia="宋体" w:cs="宋体"/>
                <w:bCs/>
              </w:rPr>
            </w:pPr>
            <w:r>
              <w:rPr>
                <w:rFonts w:hint="eastAsia" w:ascii="宋体" w:hAnsi="宋体" w:eastAsia="宋体" w:cs="宋体"/>
                <w:bCs/>
              </w:rPr>
              <w:t>1 门诊药房应设发药、调剂、药库、办公、值班和更衣等用房；</w:t>
            </w:r>
          </w:p>
          <w:p w14:paraId="428A224F">
            <w:pPr>
              <w:ind w:firstLine="480" w:firstLineChars="200"/>
              <w:rPr>
                <w:rFonts w:ascii="宋体" w:hAnsi="宋体" w:eastAsia="宋体" w:cs="宋体"/>
                <w:bCs/>
              </w:rPr>
            </w:pPr>
            <w:r>
              <w:rPr>
                <w:rFonts w:hint="eastAsia" w:ascii="宋体" w:hAnsi="宋体" w:eastAsia="宋体" w:cs="宋体"/>
                <w:bCs/>
              </w:rPr>
              <w:t>2 住院药房应设摆药、药库、发药、办公、值班和更衣等用房；</w:t>
            </w:r>
          </w:p>
          <w:p w14:paraId="48531614">
            <w:pPr>
              <w:ind w:firstLine="480" w:firstLineChars="200"/>
              <w:rPr>
                <w:rFonts w:ascii="宋体" w:hAnsi="宋体" w:eastAsia="宋体" w:cs="宋体"/>
                <w:bCs/>
              </w:rPr>
            </w:pPr>
            <w:r>
              <w:rPr>
                <w:rFonts w:hint="eastAsia" w:ascii="宋体" w:hAnsi="宋体" w:eastAsia="宋体" w:cs="宋体"/>
                <w:bCs/>
              </w:rPr>
              <w:t>3 中药房应设置中成药库、中草药库和煎药室；</w:t>
            </w:r>
          </w:p>
          <w:p w14:paraId="3682CDE4">
            <w:pPr>
              <w:ind w:firstLine="480" w:firstLineChars="200"/>
              <w:rPr>
                <w:rFonts w:ascii="宋体" w:hAnsi="宋体" w:eastAsia="宋体"/>
                <w:u w:val="single"/>
              </w:rPr>
            </w:pPr>
            <w:r>
              <w:rPr>
                <w:rFonts w:hint="eastAsia" w:ascii="宋体" w:hAnsi="宋体" w:eastAsia="宋体" w:cs="宋体"/>
                <w:bCs/>
                <w:u w:val="single"/>
              </w:rPr>
              <w:t>3A</w:t>
            </w:r>
            <w:r>
              <w:rPr>
                <w:rFonts w:ascii="宋体" w:hAnsi="宋体" w:eastAsia="宋体" w:cs="宋体"/>
                <w:bCs/>
                <w:u w:val="single"/>
              </w:rPr>
              <w:t xml:space="preserve"> </w:t>
            </w:r>
            <w:r>
              <w:rPr>
                <w:rFonts w:hint="eastAsia" w:ascii="宋体" w:hAnsi="宋体" w:eastAsia="宋体"/>
                <w:u w:val="single"/>
              </w:rPr>
              <w:t>应设临床药学、办公、示教等用房，可根据需要设立药学检测用房；</w:t>
            </w:r>
          </w:p>
          <w:p w14:paraId="53216863">
            <w:pPr>
              <w:ind w:firstLine="480" w:firstLineChars="200"/>
            </w:pPr>
            <w:r>
              <w:rPr>
                <w:rFonts w:hint="eastAsia" w:ascii="宋体" w:hAnsi="宋体" w:eastAsia="宋体" w:cs="宋体"/>
                <w:bCs/>
              </w:rPr>
              <w:t>4 可设一级药品库、办公、值班和卫生间等用房。</w:t>
            </w:r>
          </w:p>
        </w:tc>
      </w:tr>
      <w:tr w14:paraId="74936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85EFE31"/>
        </w:tc>
        <w:tc>
          <w:tcPr>
            <w:tcW w:w="4261" w:type="dxa"/>
          </w:tcPr>
          <w:p w14:paraId="0F4A4E5C">
            <w:pPr>
              <w:rPr>
                <w:rFonts w:ascii="宋体" w:hAnsi="宋体" w:eastAsia="宋体" w:cs="宋体"/>
                <w:bCs/>
                <w:u w:val="single"/>
              </w:rPr>
            </w:pPr>
            <w:r>
              <w:rPr>
                <w:rFonts w:hint="eastAsia" w:ascii="宋体" w:hAnsi="宋体" w:eastAsia="宋体" w:cs="宋体"/>
                <w:bCs/>
                <w:u w:val="single"/>
              </w:rPr>
              <w:t>5.19.</w:t>
            </w:r>
            <w:r>
              <w:rPr>
                <w:rFonts w:ascii="宋体" w:hAnsi="宋体" w:eastAsia="宋体" w:cs="宋体"/>
                <w:bCs/>
                <w:u w:val="single"/>
              </w:rPr>
              <w:t>5</w:t>
            </w:r>
            <w:r>
              <w:rPr>
                <w:rFonts w:hint="eastAsia" w:ascii="宋体" w:hAnsi="宋体" w:eastAsia="宋体" w:cs="宋体"/>
                <w:bCs/>
                <w:u w:val="single"/>
              </w:rPr>
              <w:t xml:space="preserve"> 静脉配置中心不宜设置于地下室。按区域可划分为三个区域：洁净区、辅助工作区和生活区。用房设置宜符合下列要求：</w:t>
            </w:r>
          </w:p>
          <w:p w14:paraId="30ACC783">
            <w:pPr>
              <w:ind w:firstLine="480" w:firstLineChars="200"/>
              <w:rPr>
                <w:rFonts w:ascii="宋体" w:hAnsi="宋体" w:eastAsia="宋体" w:cs="宋体"/>
                <w:bCs/>
                <w:u w:val="single"/>
              </w:rPr>
            </w:pPr>
            <w:r>
              <w:rPr>
                <w:rFonts w:hint="eastAsia" w:ascii="宋体" w:hAnsi="宋体" w:eastAsia="宋体" w:cs="宋体"/>
                <w:bCs/>
                <w:u w:val="single"/>
              </w:rPr>
              <w:t>1 洁净区设置一次更衣室、二次更衣室和调配操作间等；</w:t>
            </w:r>
          </w:p>
          <w:p w14:paraId="6F6EA6E2">
            <w:pPr>
              <w:ind w:firstLine="480" w:firstLineChars="200"/>
              <w:rPr>
                <w:rFonts w:ascii="宋体" w:hAnsi="宋体" w:eastAsia="宋体" w:cs="宋体"/>
                <w:bCs/>
                <w:u w:val="single"/>
              </w:rPr>
            </w:pPr>
            <w:r>
              <w:rPr>
                <w:rFonts w:hint="eastAsia" w:ascii="宋体" w:hAnsi="宋体" w:eastAsia="宋体" w:cs="宋体"/>
                <w:bCs/>
                <w:u w:val="single"/>
              </w:rPr>
              <w:t>2</w:t>
            </w:r>
            <w:r>
              <w:rPr>
                <w:rFonts w:ascii="宋体" w:hAnsi="宋体" w:eastAsia="宋体" w:cs="宋体"/>
                <w:bCs/>
                <w:u w:val="single"/>
              </w:rPr>
              <w:t xml:space="preserve"> </w:t>
            </w:r>
            <w:r>
              <w:rPr>
                <w:rFonts w:hint="eastAsia" w:ascii="宋体" w:hAnsi="宋体" w:eastAsia="宋体" w:cs="宋体"/>
                <w:bCs/>
                <w:u w:val="single"/>
              </w:rPr>
              <w:t>辅助工作区设置药品与物料贮存、审方打印、摆药准备、成片核查、发放和普通更衣洁具清洗等用房；</w:t>
            </w:r>
          </w:p>
          <w:p w14:paraId="03051215">
            <w:pPr>
              <w:ind w:firstLine="480" w:firstLineChars="200"/>
            </w:pPr>
            <w:r>
              <w:rPr>
                <w:rFonts w:hint="eastAsia" w:ascii="宋体" w:hAnsi="宋体" w:eastAsia="宋体" w:cs="宋体"/>
                <w:bCs/>
                <w:u w:val="single"/>
              </w:rPr>
              <w:t>3</w:t>
            </w:r>
            <w:r>
              <w:rPr>
                <w:rFonts w:ascii="宋体" w:hAnsi="宋体" w:eastAsia="宋体" w:cs="宋体"/>
                <w:bCs/>
                <w:u w:val="single"/>
              </w:rPr>
              <w:t xml:space="preserve"> </w:t>
            </w:r>
            <w:r>
              <w:rPr>
                <w:rFonts w:hint="eastAsia" w:ascii="宋体" w:hAnsi="宋体" w:eastAsia="宋体" w:cs="宋体"/>
                <w:bCs/>
                <w:u w:val="single"/>
              </w:rPr>
              <w:t>生活区宜设置办公、更衣、休息、淋卫等用房。</w:t>
            </w:r>
          </w:p>
        </w:tc>
      </w:tr>
      <w:tr w14:paraId="23FC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68A0642">
            <w:pPr>
              <w:jc w:val="center"/>
              <w:rPr>
                <w:rFonts w:asciiTheme="minorEastAsia" w:hAnsiTheme="minorEastAsia"/>
              </w:rPr>
            </w:pPr>
            <w:bookmarkStart w:id="22" w:name="_Toc85880740"/>
            <w:r>
              <w:rPr>
                <w:rFonts w:hint="eastAsia" w:asciiTheme="minorEastAsia" w:hAnsiTheme="minorEastAsia"/>
              </w:rPr>
              <w:t>5.20</w:t>
            </w:r>
            <w:r>
              <w:rPr>
                <w:rFonts w:asciiTheme="minorEastAsia" w:hAnsiTheme="minorEastAsia"/>
              </w:rPr>
              <w:t xml:space="preserve"> </w:t>
            </w:r>
            <w:r>
              <w:rPr>
                <w:rFonts w:hint="eastAsia" w:asciiTheme="minorEastAsia" w:hAnsiTheme="minorEastAsia"/>
              </w:rPr>
              <w:t>中心（消毒）供应室</w:t>
            </w:r>
            <w:bookmarkEnd w:id="22"/>
            <w:r>
              <w:rPr>
                <w:rFonts w:hint="eastAsia" w:asciiTheme="minorEastAsia" w:hAnsiTheme="minorEastAsia"/>
              </w:rPr>
              <w:t>用房</w:t>
            </w:r>
          </w:p>
        </w:tc>
        <w:tc>
          <w:tcPr>
            <w:tcW w:w="4261" w:type="dxa"/>
            <w:shd w:val="clear" w:color="auto" w:fill="auto"/>
          </w:tcPr>
          <w:p w14:paraId="081EE321">
            <w:pPr>
              <w:jc w:val="center"/>
              <w:rPr>
                <w:rFonts w:asciiTheme="minorEastAsia" w:hAnsiTheme="minorEastAsia"/>
              </w:rPr>
            </w:pPr>
            <w:r>
              <w:rPr>
                <w:rFonts w:hint="eastAsia" w:asciiTheme="minorEastAsia" w:hAnsiTheme="minorEastAsia"/>
              </w:rPr>
              <w:t>5.20</w:t>
            </w:r>
            <w:r>
              <w:rPr>
                <w:rFonts w:asciiTheme="minorEastAsia" w:hAnsiTheme="minorEastAsia"/>
              </w:rPr>
              <w:t xml:space="preserve"> </w:t>
            </w:r>
            <w:r>
              <w:rPr>
                <w:rFonts w:hint="eastAsia" w:asciiTheme="minorEastAsia" w:hAnsiTheme="minorEastAsia"/>
              </w:rPr>
              <w:t>中心（消毒）供应室用房</w:t>
            </w:r>
          </w:p>
        </w:tc>
      </w:tr>
      <w:tr w14:paraId="2C325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5C4612C">
            <w:pPr>
              <w:rPr>
                <w:rFonts w:ascii="宋体" w:hAnsi="宋体" w:eastAsia="宋体"/>
                <w:bCs/>
              </w:rPr>
            </w:pPr>
            <w:r>
              <w:rPr>
                <w:rFonts w:hint="eastAsia" w:ascii="宋体" w:hAnsi="宋体" w:eastAsia="宋体"/>
                <w:bCs/>
              </w:rPr>
              <w:t>5.20.1 中心（消毒）供应室位置与平面布置应符合下列要求：</w:t>
            </w:r>
          </w:p>
          <w:p w14:paraId="29D09247">
            <w:pPr>
              <w:ind w:firstLine="480" w:firstLineChars="200"/>
              <w:rPr>
                <w:rFonts w:ascii="宋体" w:hAnsi="宋体" w:eastAsia="宋体" w:cs="宋体"/>
                <w:bCs/>
              </w:rPr>
            </w:pPr>
            <w:r>
              <w:rPr>
                <w:rFonts w:hint="eastAsia" w:ascii="宋体" w:hAnsi="宋体" w:eastAsia="宋体" w:cs="宋体"/>
                <w:bCs/>
              </w:rPr>
              <w:t>1 应自成一区，宜与手术部</w:t>
            </w:r>
            <w:r>
              <w:rPr>
                <w:rFonts w:hint="eastAsia" w:ascii="宋体" w:hAnsi="宋体" w:eastAsia="宋体" w:cs="宋体"/>
                <w:bCs/>
                <w:bdr w:val="single" w:color="auto" w:sz="4" w:space="0"/>
              </w:rPr>
              <w:t>、重症监护和介入治疗等功能用房区域</w:t>
            </w:r>
            <w:r>
              <w:rPr>
                <w:rFonts w:hint="eastAsia" w:ascii="宋体" w:hAnsi="宋体" w:eastAsia="宋体" w:cs="宋体"/>
                <w:bCs/>
              </w:rPr>
              <w:t>有便捷联系；</w:t>
            </w:r>
          </w:p>
          <w:p w14:paraId="41887799">
            <w:pPr>
              <w:ind w:firstLine="480" w:firstLineChars="200"/>
              <w:rPr>
                <w:rFonts w:ascii="宋体" w:hAnsi="宋体" w:eastAsia="宋体" w:cs="宋体"/>
                <w:bCs/>
              </w:rPr>
            </w:pPr>
            <w:r>
              <w:rPr>
                <w:rFonts w:hint="eastAsia" w:ascii="宋体" w:hAnsi="宋体" w:eastAsia="宋体" w:cs="宋体"/>
                <w:bCs/>
              </w:rPr>
              <w:t>2 应按照污染区、清洁区、无菌区三区布置，并应按单向流程布置，工作人员辅助用房应自成一区；</w:t>
            </w:r>
          </w:p>
          <w:p w14:paraId="183C05A8">
            <w:pPr>
              <w:ind w:firstLine="480" w:firstLineChars="200"/>
            </w:pPr>
            <w:r>
              <w:rPr>
                <w:rFonts w:hint="eastAsia" w:ascii="宋体" w:hAnsi="宋体" w:eastAsia="宋体" w:cs="宋体"/>
                <w:bCs/>
              </w:rPr>
              <w:t>3 进入污染区、清洁区和无菌区的人员均应卫生通过。</w:t>
            </w:r>
          </w:p>
        </w:tc>
        <w:tc>
          <w:tcPr>
            <w:tcW w:w="4261" w:type="dxa"/>
            <w:shd w:val="clear" w:color="auto" w:fill="auto"/>
          </w:tcPr>
          <w:p w14:paraId="4B39D9DE">
            <w:pPr>
              <w:rPr>
                <w:rFonts w:ascii="宋体" w:hAnsi="宋体" w:eastAsia="宋体"/>
                <w:bCs/>
              </w:rPr>
            </w:pPr>
            <w:r>
              <w:rPr>
                <w:rFonts w:hint="eastAsia" w:ascii="宋体" w:hAnsi="宋体" w:eastAsia="宋体"/>
                <w:bCs/>
              </w:rPr>
              <w:t>5.20.1 中心（消毒）供应室位置与平面布置应符合下列要求：</w:t>
            </w:r>
          </w:p>
          <w:p w14:paraId="05680852">
            <w:pPr>
              <w:ind w:firstLine="480" w:firstLineChars="200"/>
              <w:rPr>
                <w:rFonts w:ascii="宋体" w:hAnsi="宋体" w:eastAsia="宋体" w:cs="宋体"/>
                <w:bCs/>
              </w:rPr>
            </w:pPr>
            <w:r>
              <w:rPr>
                <w:rFonts w:hint="eastAsia" w:ascii="宋体" w:hAnsi="宋体" w:eastAsia="宋体" w:cs="宋体"/>
                <w:bCs/>
              </w:rPr>
              <w:t>1 应自成一区，宜与手术部有便捷联系；</w:t>
            </w:r>
          </w:p>
          <w:p w14:paraId="75F35A54">
            <w:pPr>
              <w:ind w:firstLine="480" w:firstLineChars="200"/>
              <w:rPr>
                <w:rFonts w:ascii="宋体" w:hAnsi="宋体" w:eastAsia="宋体" w:cs="宋体"/>
                <w:bCs/>
              </w:rPr>
            </w:pPr>
            <w:r>
              <w:rPr>
                <w:rFonts w:hint="eastAsia" w:ascii="宋体" w:hAnsi="宋体" w:eastAsia="宋体" w:cs="宋体"/>
                <w:bCs/>
              </w:rPr>
              <w:t>2 应按照污染区、清洁区、无菌区三区布置，并应按单向流程布置，工作人员辅助用房应自成一区；</w:t>
            </w:r>
          </w:p>
          <w:p w14:paraId="51B1C729">
            <w:pPr>
              <w:ind w:firstLine="480" w:firstLineChars="200"/>
            </w:pPr>
            <w:r>
              <w:rPr>
                <w:rFonts w:hint="eastAsia" w:ascii="宋体" w:hAnsi="宋体" w:eastAsia="宋体" w:cs="宋体"/>
                <w:bCs/>
              </w:rPr>
              <w:t>3 进入污染区、清洁区和无菌区的人员均应卫生通过。</w:t>
            </w:r>
          </w:p>
        </w:tc>
      </w:tr>
      <w:tr w14:paraId="32FFF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1064A51">
            <w:pPr>
              <w:jc w:val="center"/>
              <w:rPr>
                <w:rFonts w:asciiTheme="minorEastAsia" w:hAnsiTheme="minorEastAsia"/>
              </w:rPr>
            </w:pPr>
            <w:bookmarkStart w:id="23" w:name="_Toc85880741"/>
            <w:r>
              <w:rPr>
                <w:rFonts w:hint="eastAsia" w:asciiTheme="minorEastAsia" w:hAnsiTheme="minorEastAsia"/>
              </w:rPr>
              <w:t>5.21 营养厨房</w:t>
            </w:r>
            <w:bookmarkEnd w:id="23"/>
          </w:p>
        </w:tc>
        <w:tc>
          <w:tcPr>
            <w:tcW w:w="4261" w:type="dxa"/>
            <w:shd w:val="clear" w:color="auto" w:fill="auto"/>
          </w:tcPr>
          <w:p w14:paraId="495DEAA7">
            <w:pPr>
              <w:jc w:val="center"/>
              <w:rPr>
                <w:rFonts w:asciiTheme="minorEastAsia" w:hAnsiTheme="minorEastAsia"/>
              </w:rPr>
            </w:pPr>
            <w:r>
              <w:rPr>
                <w:rFonts w:hint="eastAsia" w:asciiTheme="minorEastAsia" w:hAnsiTheme="minorEastAsia"/>
              </w:rPr>
              <w:t>5.21 营养厨房</w:t>
            </w:r>
          </w:p>
        </w:tc>
      </w:tr>
      <w:tr w14:paraId="24CB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AC5C1B1">
            <w:pPr>
              <w:widowControl/>
              <w:rPr>
                <w:rFonts w:ascii="宋体" w:hAnsi="宋体" w:eastAsia="宋体"/>
                <w:bCs/>
              </w:rPr>
            </w:pPr>
            <w:r>
              <w:rPr>
                <w:rFonts w:hint="eastAsia" w:ascii="宋体" w:hAnsi="宋体" w:eastAsia="宋体"/>
                <w:bCs/>
              </w:rPr>
              <w:t>5.21.1 营养厨房位置与平面布置应符合下列要求：</w:t>
            </w:r>
          </w:p>
          <w:p w14:paraId="7FA47CFD">
            <w:pPr>
              <w:ind w:firstLine="424" w:firstLineChars="177"/>
              <w:rPr>
                <w:rFonts w:ascii="宋体" w:hAnsi="宋体" w:eastAsia="宋体" w:cs="宋体"/>
                <w:bCs/>
              </w:rPr>
            </w:pPr>
            <w:r>
              <w:rPr>
                <w:rFonts w:hint="eastAsia" w:ascii="宋体" w:hAnsi="宋体" w:eastAsia="宋体" w:cs="宋体"/>
                <w:bCs/>
              </w:rPr>
              <w:t>1 应自成一区，</w:t>
            </w:r>
            <w:r>
              <w:rPr>
                <w:rFonts w:hint="eastAsia" w:ascii="宋体" w:hAnsi="宋体" w:eastAsia="宋体" w:cs="宋体"/>
                <w:bCs/>
                <w:bdr w:val="single" w:color="auto" w:sz="4" w:space="0"/>
              </w:rPr>
              <w:t>宜邻近病房，</w:t>
            </w:r>
            <w:r>
              <w:rPr>
                <w:rFonts w:hint="eastAsia" w:ascii="宋体" w:hAnsi="宋体" w:eastAsia="宋体" w:cs="宋体"/>
                <w:bCs/>
              </w:rPr>
              <w:t>并与</w:t>
            </w:r>
            <w:r>
              <w:rPr>
                <w:rFonts w:hint="eastAsia" w:ascii="宋体" w:hAnsi="宋体" w:eastAsia="宋体" w:cs="宋体"/>
                <w:bCs/>
                <w:bdr w:val="single" w:color="auto" w:sz="4" w:space="0"/>
              </w:rPr>
              <w:t>之</w:t>
            </w:r>
            <w:r>
              <w:rPr>
                <w:rFonts w:hint="eastAsia" w:ascii="宋体" w:hAnsi="宋体" w:eastAsia="宋体" w:cs="宋体"/>
                <w:bCs/>
              </w:rPr>
              <w:t>有便捷联系通道；</w:t>
            </w:r>
          </w:p>
          <w:p w14:paraId="645BE002">
            <w:pPr>
              <w:ind w:firstLine="424" w:firstLineChars="177"/>
              <w:rPr>
                <w:rFonts w:ascii="宋体" w:hAnsi="宋体" w:eastAsia="宋体" w:cs="宋体"/>
                <w:bCs/>
              </w:rPr>
            </w:pPr>
            <w:r>
              <w:rPr>
                <w:rFonts w:hint="eastAsia" w:ascii="宋体" w:hAnsi="宋体" w:eastAsia="宋体" w:cs="宋体"/>
                <w:bCs/>
              </w:rPr>
              <w:t>2 配餐室和餐车停放室（处）应有冲洗和消毒餐车的设施；</w:t>
            </w:r>
          </w:p>
          <w:p w14:paraId="33AD8E5C">
            <w:pPr>
              <w:ind w:firstLine="424" w:firstLineChars="177"/>
              <w:rPr>
                <w:rFonts w:ascii="宋体" w:hAnsi="宋体" w:eastAsia="宋体" w:cs="宋体"/>
                <w:bCs/>
              </w:rPr>
            </w:pPr>
            <w:r>
              <w:rPr>
                <w:rFonts w:hint="eastAsia" w:ascii="宋体" w:hAnsi="宋体" w:eastAsia="宋体" w:cs="宋体"/>
                <w:bCs/>
              </w:rPr>
              <w:t>3 应避免营养厨房的蒸汽、噪声和气味对</w:t>
            </w:r>
            <w:r>
              <w:rPr>
                <w:rFonts w:hint="eastAsia" w:ascii="宋体" w:hAnsi="宋体" w:eastAsia="宋体" w:cs="宋体"/>
                <w:bCs/>
                <w:bdr w:val="single" w:color="auto" w:sz="4" w:space="0"/>
              </w:rPr>
              <w:t>病区</w:t>
            </w:r>
            <w:r>
              <w:rPr>
                <w:rFonts w:hint="eastAsia" w:ascii="宋体" w:hAnsi="宋体" w:eastAsia="宋体" w:cs="宋体"/>
                <w:bCs/>
              </w:rPr>
              <w:t>的窜扰；</w:t>
            </w:r>
          </w:p>
          <w:p w14:paraId="1FE8ECA6">
            <w:pPr>
              <w:ind w:firstLine="424" w:firstLineChars="177"/>
            </w:pPr>
            <w:r>
              <w:rPr>
                <w:rFonts w:hint="eastAsia" w:ascii="宋体" w:hAnsi="宋体" w:eastAsia="宋体" w:cs="宋体"/>
                <w:bCs/>
              </w:rPr>
              <w:t>4 平面布置应遵守食品加工流程。</w:t>
            </w:r>
          </w:p>
        </w:tc>
        <w:tc>
          <w:tcPr>
            <w:tcW w:w="4261" w:type="dxa"/>
            <w:shd w:val="clear" w:color="auto" w:fill="auto"/>
          </w:tcPr>
          <w:p w14:paraId="608CE69B">
            <w:pPr>
              <w:widowControl/>
              <w:rPr>
                <w:rFonts w:ascii="宋体" w:hAnsi="宋体" w:eastAsia="宋体"/>
                <w:bCs/>
              </w:rPr>
            </w:pPr>
            <w:r>
              <w:rPr>
                <w:rFonts w:hint="eastAsia" w:ascii="宋体" w:hAnsi="宋体" w:eastAsia="宋体"/>
                <w:bCs/>
              </w:rPr>
              <w:t>5.21.1 营养厨房位置与平面布置应符合下列要求：</w:t>
            </w:r>
          </w:p>
          <w:p w14:paraId="1877BBED">
            <w:pPr>
              <w:ind w:firstLine="424" w:firstLineChars="177"/>
              <w:rPr>
                <w:rFonts w:ascii="宋体" w:hAnsi="宋体" w:eastAsia="宋体" w:cs="宋体"/>
                <w:bCs/>
              </w:rPr>
            </w:pPr>
            <w:r>
              <w:rPr>
                <w:rFonts w:hint="eastAsia" w:ascii="宋体" w:hAnsi="宋体" w:eastAsia="宋体" w:cs="宋体"/>
                <w:bCs/>
              </w:rPr>
              <w:t>1 应自成一区，并与</w:t>
            </w:r>
            <w:r>
              <w:rPr>
                <w:rFonts w:hint="eastAsia" w:ascii="宋体" w:hAnsi="宋体" w:eastAsia="宋体" w:cs="宋体"/>
                <w:bCs/>
                <w:u w:val="single"/>
              </w:rPr>
              <w:t>病房楼</w:t>
            </w:r>
            <w:r>
              <w:rPr>
                <w:rFonts w:hint="eastAsia" w:ascii="宋体" w:hAnsi="宋体" w:eastAsia="宋体" w:cs="宋体"/>
                <w:bCs/>
              </w:rPr>
              <w:t>有便捷联系通道；</w:t>
            </w:r>
            <w:r>
              <w:rPr>
                <w:rFonts w:hint="eastAsia" w:ascii="宋体" w:hAnsi="宋体" w:eastAsia="宋体"/>
                <w:u w:val="single"/>
              </w:rPr>
              <w:t>设置肠内营养配置用房的，应符合相关规范要求；</w:t>
            </w:r>
          </w:p>
          <w:p w14:paraId="447130FD">
            <w:pPr>
              <w:ind w:firstLine="424" w:firstLineChars="177"/>
              <w:rPr>
                <w:rFonts w:ascii="宋体" w:hAnsi="宋体" w:eastAsia="宋体" w:cs="宋体"/>
                <w:bCs/>
              </w:rPr>
            </w:pPr>
            <w:r>
              <w:rPr>
                <w:rFonts w:hint="eastAsia" w:ascii="宋体" w:hAnsi="宋体" w:eastAsia="宋体" w:cs="宋体"/>
                <w:bCs/>
              </w:rPr>
              <w:t>2 配餐室和餐车停放室（处）应有冲洗和消毒餐车的设施；</w:t>
            </w:r>
          </w:p>
          <w:p w14:paraId="046EE201">
            <w:pPr>
              <w:ind w:firstLine="424" w:firstLineChars="177"/>
              <w:rPr>
                <w:rFonts w:ascii="宋体" w:hAnsi="宋体" w:eastAsia="宋体" w:cs="宋体"/>
                <w:bCs/>
              </w:rPr>
            </w:pPr>
            <w:r>
              <w:rPr>
                <w:rFonts w:hint="eastAsia" w:ascii="宋体" w:hAnsi="宋体" w:eastAsia="宋体" w:cs="宋体"/>
                <w:bCs/>
              </w:rPr>
              <w:t>3 应避免营养厨房的蒸汽、噪声和气味对</w:t>
            </w:r>
            <w:r>
              <w:rPr>
                <w:rFonts w:hint="eastAsia" w:ascii="宋体" w:hAnsi="宋体" w:eastAsia="宋体" w:cs="宋体"/>
                <w:bCs/>
                <w:u w:val="single"/>
              </w:rPr>
              <w:t>其他区域</w:t>
            </w:r>
            <w:r>
              <w:rPr>
                <w:rFonts w:hint="eastAsia" w:ascii="宋体" w:hAnsi="宋体" w:eastAsia="宋体" w:cs="宋体"/>
                <w:bCs/>
              </w:rPr>
              <w:t>的窜扰；</w:t>
            </w:r>
          </w:p>
          <w:p w14:paraId="45CB56C0">
            <w:pPr>
              <w:ind w:firstLine="424" w:firstLineChars="177"/>
            </w:pPr>
            <w:r>
              <w:rPr>
                <w:rFonts w:hint="eastAsia" w:ascii="宋体" w:hAnsi="宋体" w:eastAsia="宋体" w:cs="宋体"/>
                <w:bCs/>
              </w:rPr>
              <w:t>4 平面布置应遵守食品加工流程。</w:t>
            </w:r>
          </w:p>
        </w:tc>
      </w:tr>
      <w:tr w14:paraId="6DD82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A2950BD">
            <w:r>
              <w:rPr>
                <w:rFonts w:hint="eastAsia" w:asciiTheme="minorEastAsia" w:hAnsiTheme="minorEastAsia"/>
                <w:bCs/>
              </w:rPr>
              <w:t>5.21.2 营养厨房</w:t>
            </w:r>
            <w:r>
              <w:rPr>
                <w:rFonts w:hint="eastAsia" w:asciiTheme="minorEastAsia" w:hAnsiTheme="minorEastAsia"/>
                <w:bCs/>
                <w:bdr w:val="single" w:color="auto" w:sz="4" w:space="0"/>
              </w:rPr>
              <w:t>应</w:t>
            </w:r>
            <w:r>
              <w:rPr>
                <w:rFonts w:hint="eastAsia" w:asciiTheme="minorEastAsia" w:hAnsiTheme="minorEastAsia"/>
                <w:bCs/>
              </w:rPr>
              <w:t>设置主食制作、副食制作、主食蒸煮、副食洗切、冷荤熟食、</w:t>
            </w:r>
            <w:r>
              <w:rPr>
                <w:rFonts w:hint="eastAsia" w:asciiTheme="minorEastAsia" w:hAnsiTheme="minorEastAsia"/>
                <w:bCs/>
                <w:bdr w:val="single" w:color="auto" w:sz="4" w:space="0"/>
              </w:rPr>
              <w:t>回民灶</w:t>
            </w:r>
            <w:r>
              <w:rPr>
                <w:rFonts w:hint="eastAsia" w:asciiTheme="minorEastAsia" w:hAnsiTheme="minorEastAsia"/>
                <w:bCs/>
              </w:rPr>
              <w:t>、库房、配餐、餐车存放、办公和更衣等用房。</w:t>
            </w:r>
          </w:p>
        </w:tc>
        <w:tc>
          <w:tcPr>
            <w:tcW w:w="4261" w:type="dxa"/>
            <w:shd w:val="clear" w:color="auto" w:fill="auto"/>
          </w:tcPr>
          <w:p w14:paraId="5E0B2D5D">
            <w:r>
              <w:rPr>
                <w:rFonts w:hint="eastAsia" w:asciiTheme="minorEastAsia" w:hAnsiTheme="minorEastAsia"/>
                <w:bCs/>
              </w:rPr>
              <w:t>5.21.2 营养厨房</w:t>
            </w:r>
            <w:r>
              <w:rPr>
                <w:rFonts w:hint="eastAsia" w:asciiTheme="minorEastAsia" w:hAnsiTheme="minorEastAsia"/>
                <w:bCs/>
                <w:u w:val="single"/>
              </w:rPr>
              <w:t>宜</w:t>
            </w:r>
            <w:r>
              <w:rPr>
                <w:rFonts w:hint="eastAsia" w:asciiTheme="minorEastAsia" w:hAnsiTheme="minorEastAsia"/>
                <w:bCs/>
              </w:rPr>
              <w:t>设置主食制作、副食制作、主食蒸煮、副食洗切、冷荤熟食、</w:t>
            </w:r>
            <w:r>
              <w:rPr>
                <w:rFonts w:hint="eastAsia" w:asciiTheme="minorEastAsia" w:hAnsiTheme="minorEastAsia"/>
                <w:u w:val="single"/>
              </w:rPr>
              <w:t>清真加工室</w:t>
            </w:r>
            <w:r>
              <w:rPr>
                <w:rFonts w:hint="eastAsia" w:asciiTheme="minorEastAsia" w:hAnsiTheme="minorEastAsia"/>
                <w:bCs/>
              </w:rPr>
              <w:t>、库房、配餐、餐车存放、</w:t>
            </w:r>
            <w:r>
              <w:rPr>
                <w:rFonts w:hint="eastAsia" w:asciiTheme="minorEastAsia" w:hAnsiTheme="minorEastAsia"/>
                <w:u w:val="single"/>
              </w:rPr>
              <w:t>检测、留样、</w:t>
            </w:r>
            <w:r>
              <w:rPr>
                <w:rFonts w:hint="eastAsia" w:asciiTheme="minorEastAsia" w:hAnsiTheme="minorEastAsia"/>
                <w:bCs/>
              </w:rPr>
              <w:t>办公和更衣</w:t>
            </w:r>
            <w:r>
              <w:rPr>
                <w:rFonts w:hint="eastAsia" w:asciiTheme="minorEastAsia" w:hAnsiTheme="minorEastAsia"/>
                <w:bCs/>
                <w:u w:val="single"/>
              </w:rPr>
              <w:t>、</w:t>
            </w:r>
            <w:r>
              <w:rPr>
                <w:rFonts w:hint="eastAsia" w:asciiTheme="minorEastAsia" w:hAnsiTheme="minorEastAsia"/>
                <w:u w:val="single"/>
              </w:rPr>
              <w:t>淋浴</w:t>
            </w:r>
            <w:r>
              <w:rPr>
                <w:rFonts w:hint="eastAsia" w:asciiTheme="minorEastAsia" w:hAnsiTheme="minorEastAsia"/>
                <w:bCs/>
              </w:rPr>
              <w:t>等用房。</w:t>
            </w:r>
          </w:p>
        </w:tc>
      </w:tr>
      <w:tr w14:paraId="01F12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841FF76">
            <w:pPr>
              <w:jc w:val="center"/>
              <w:rPr>
                <w:rFonts w:asciiTheme="minorEastAsia" w:hAnsiTheme="minorEastAsia"/>
              </w:rPr>
            </w:pPr>
            <w:bookmarkStart w:id="24" w:name="_Toc85880742"/>
            <w:r>
              <w:rPr>
                <w:rFonts w:hint="eastAsia" w:asciiTheme="minorEastAsia" w:hAnsiTheme="minorEastAsia"/>
              </w:rPr>
              <w:t>5.22</w:t>
            </w:r>
            <w:r>
              <w:rPr>
                <w:rFonts w:asciiTheme="minorEastAsia" w:hAnsiTheme="minorEastAsia"/>
              </w:rPr>
              <w:t xml:space="preserve"> </w:t>
            </w:r>
            <w:r>
              <w:rPr>
                <w:rFonts w:hint="eastAsia" w:asciiTheme="minorEastAsia" w:hAnsiTheme="minorEastAsia"/>
              </w:rPr>
              <w:t>洗衣房</w:t>
            </w:r>
            <w:bookmarkEnd w:id="24"/>
          </w:p>
        </w:tc>
        <w:tc>
          <w:tcPr>
            <w:tcW w:w="4261" w:type="dxa"/>
            <w:shd w:val="clear" w:color="auto" w:fill="auto"/>
          </w:tcPr>
          <w:p w14:paraId="36F22138">
            <w:pPr>
              <w:jc w:val="center"/>
              <w:rPr>
                <w:rFonts w:asciiTheme="minorEastAsia" w:hAnsiTheme="minorEastAsia"/>
              </w:rPr>
            </w:pPr>
            <w:r>
              <w:rPr>
                <w:rFonts w:hint="eastAsia" w:asciiTheme="minorEastAsia" w:hAnsiTheme="minorEastAsia"/>
              </w:rPr>
              <w:t>5.22</w:t>
            </w:r>
            <w:r>
              <w:rPr>
                <w:rFonts w:asciiTheme="minorEastAsia" w:hAnsiTheme="minorEastAsia"/>
              </w:rPr>
              <w:t xml:space="preserve"> </w:t>
            </w:r>
            <w:r>
              <w:rPr>
                <w:rFonts w:hint="eastAsia" w:asciiTheme="minorEastAsia" w:hAnsiTheme="minorEastAsia"/>
              </w:rPr>
              <w:t>洗衣房</w:t>
            </w:r>
          </w:p>
        </w:tc>
      </w:tr>
      <w:tr w14:paraId="14CA1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48E84FF">
            <w:pPr>
              <w:widowControl/>
              <w:rPr>
                <w:rFonts w:ascii="宋体" w:hAnsi="宋体" w:eastAsia="宋体"/>
                <w:bCs/>
              </w:rPr>
            </w:pPr>
            <w:r>
              <w:rPr>
                <w:rFonts w:hint="eastAsia" w:ascii="宋体" w:hAnsi="宋体" w:eastAsia="宋体"/>
                <w:bCs/>
              </w:rPr>
              <w:t>5.22.1 洗衣房位置与平面布置应符合下列要求：</w:t>
            </w:r>
          </w:p>
          <w:p w14:paraId="5A90F4D0">
            <w:pPr>
              <w:ind w:firstLine="424" w:firstLineChars="177"/>
              <w:rPr>
                <w:rFonts w:ascii="宋体" w:hAnsi="宋体" w:eastAsia="宋体" w:cs="宋体"/>
                <w:bCs/>
              </w:rPr>
            </w:pPr>
            <w:r>
              <w:rPr>
                <w:rFonts w:hint="eastAsia" w:ascii="宋体" w:hAnsi="宋体" w:eastAsia="宋体" w:cs="宋体"/>
                <w:bCs/>
              </w:rPr>
              <w:t>1 应自成一区，并应按工艺流程进行平面布置；</w:t>
            </w:r>
          </w:p>
          <w:p w14:paraId="060CC906">
            <w:pPr>
              <w:ind w:firstLine="424" w:firstLineChars="177"/>
              <w:rPr>
                <w:rFonts w:ascii="宋体" w:hAnsi="宋体" w:eastAsia="宋体" w:cs="宋体"/>
                <w:bCs/>
              </w:rPr>
            </w:pPr>
            <w:r>
              <w:rPr>
                <w:rFonts w:hint="eastAsia" w:ascii="宋体" w:hAnsi="宋体" w:eastAsia="宋体" w:cs="宋体"/>
                <w:bCs/>
              </w:rPr>
              <w:t>2 污衣入口和洁衣出口处应分别设置；</w:t>
            </w:r>
          </w:p>
          <w:p w14:paraId="3388AF84">
            <w:pPr>
              <w:ind w:firstLine="424" w:firstLineChars="177"/>
              <w:rPr>
                <w:rFonts w:ascii="宋体" w:hAnsi="宋体" w:eastAsia="宋体" w:cs="宋体"/>
                <w:bCs/>
              </w:rPr>
            </w:pPr>
            <w:r>
              <w:rPr>
                <w:rFonts w:hint="eastAsia" w:ascii="宋体" w:hAnsi="宋体" w:eastAsia="宋体" w:cs="宋体"/>
                <w:bCs/>
              </w:rPr>
              <w:t>3 宜单独设置更衣间、浴室和卫生间；</w:t>
            </w:r>
          </w:p>
          <w:p w14:paraId="1DC2279B">
            <w:pPr>
              <w:ind w:firstLine="424" w:firstLineChars="177"/>
              <w:rPr>
                <w:rFonts w:ascii="宋体" w:hAnsi="宋体" w:eastAsia="宋体" w:cs="宋体"/>
                <w:bCs/>
              </w:rPr>
            </w:pPr>
            <w:r>
              <w:rPr>
                <w:rFonts w:hint="eastAsia" w:ascii="宋体" w:hAnsi="宋体" w:eastAsia="宋体" w:cs="宋体"/>
                <w:bCs/>
              </w:rPr>
              <w:t>4 设置在病房楼底层或地下层的洗衣房应避免噪声对病区的干扰；</w:t>
            </w:r>
          </w:p>
          <w:p w14:paraId="3C76382E">
            <w:pPr>
              <w:ind w:firstLine="424" w:firstLineChars="177"/>
              <w:rPr>
                <w:rFonts w:ascii="宋体" w:hAnsi="宋体" w:eastAsia="宋体" w:cs="宋体"/>
                <w:bCs/>
              </w:rPr>
            </w:pPr>
            <w:r>
              <w:rPr>
                <w:rFonts w:hint="eastAsia" w:ascii="宋体" w:hAnsi="宋体" w:eastAsia="宋体" w:cs="宋体"/>
                <w:bCs/>
              </w:rPr>
              <w:t>5 工作人员与患者的洗涤物应分别处理；</w:t>
            </w:r>
          </w:p>
          <w:p w14:paraId="1AC6964C">
            <w:pPr>
              <w:ind w:firstLine="424" w:firstLineChars="177"/>
            </w:pPr>
            <w:r>
              <w:rPr>
                <w:rFonts w:hint="eastAsia" w:ascii="宋体" w:hAnsi="宋体" w:eastAsia="宋体" w:cs="宋体"/>
                <w:bCs/>
              </w:rPr>
              <w:t>6 当洗衣利用社会化服务时，应设收集、分拣、储存、发放处。</w:t>
            </w:r>
          </w:p>
        </w:tc>
        <w:tc>
          <w:tcPr>
            <w:tcW w:w="4261" w:type="dxa"/>
            <w:shd w:val="clear" w:color="auto" w:fill="auto"/>
          </w:tcPr>
          <w:p w14:paraId="66753A0C">
            <w:pPr>
              <w:widowControl/>
              <w:rPr>
                <w:rFonts w:ascii="宋体" w:hAnsi="宋体" w:eastAsia="宋体"/>
                <w:bCs/>
              </w:rPr>
            </w:pPr>
            <w:r>
              <w:rPr>
                <w:rFonts w:hint="eastAsia" w:ascii="宋体" w:hAnsi="宋体" w:eastAsia="宋体"/>
                <w:bCs/>
              </w:rPr>
              <w:t>5.22.1 洗衣房位置与平面布置应符合下列要求：</w:t>
            </w:r>
          </w:p>
          <w:p w14:paraId="3A40C40A">
            <w:pPr>
              <w:ind w:firstLine="424" w:firstLineChars="177"/>
              <w:rPr>
                <w:rFonts w:ascii="宋体" w:hAnsi="宋体" w:eastAsia="宋体" w:cs="宋体"/>
                <w:bCs/>
              </w:rPr>
            </w:pPr>
            <w:r>
              <w:rPr>
                <w:rFonts w:hint="eastAsia" w:ascii="宋体" w:hAnsi="宋体" w:eastAsia="宋体" w:cs="宋体"/>
                <w:bCs/>
              </w:rPr>
              <w:t>1 应自成一区，并应按工艺流程进行平面布置；</w:t>
            </w:r>
          </w:p>
          <w:p w14:paraId="61AD79C4">
            <w:pPr>
              <w:ind w:firstLine="424" w:firstLineChars="177"/>
              <w:rPr>
                <w:rFonts w:ascii="宋体" w:hAnsi="宋体" w:eastAsia="宋体" w:cs="宋体"/>
                <w:bCs/>
              </w:rPr>
            </w:pPr>
            <w:r>
              <w:rPr>
                <w:rFonts w:hint="eastAsia" w:ascii="宋体" w:hAnsi="宋体" w:eastAsia="宋体" w:cs="宋体"/>
                <w:bCs/>
              </w:rPr>
              <w:t>2 污衣入口和洁衣出口处应分别设置；</w:t>
            </w:r>
          </w:p>
          <w:p w14:paraId="57252EA4">
            <w:pPr>
              <w:ind w:firstLine="424" w:firstLineChars="177"/>
              <w:rPr>
                <w:rFonts w:ascii="宋体" w:hAnsi="宋体" w:eastAsia="宋体" w:cs="宋体"/>
                <w:bCs/>
              </w:rPr>
            </w:pPr>
            <w:r>
              <w:rPr>
                <w:rFonts w:hint="eastAsia" w:ascii="宋体" w:hAnsi="宋体" w:eastAsia="宋体" w:cs="宋体"/>
                <w:bCs/>
              </w:rPr>
              <w:t>3 宜单独设置</w:t>
            </w:r>
            <w:r>
              <w:rPr>
                <w:rFonts w:hint="eastAsia" w:ascii="宋体" w:hAnsi="宋体" w:eastAsia="宋体" w:cs="宋体"/>
                <w:bCs/>
                <w:u w:val="single"/>
              </w:rPr>
              <w:t>工作人员</w:t>
            </w:r>
            <w:r>
              <w:rPr>
                <w:rFonts w:hint="eastAsia" w:ascii="宋体" w:hAnsi="宋体" w:eastAsia="宋体" w:cs="宋体"/>
                <w:bCs/>
              </w:rPr>
              <w:t>更衣间、浴室和卫生间；</w:t>
            </w:r>
          </w:p>
          <w:p w14:paraId="487B2CA2">
            <w:pPr>
              <w:ind w:firstLine="424" w:firstLineChars="177"/>
              <w:rPr>
                <w:rFonts w:ascii="宋体" w:hAnsi="宋体" w:eastAsia="宋体" w:cs="宋体"/>
                <w:bCs/>
              </w:rPr>
            </w:pPr>
            <w:r>
              <w:rPr>
                <w:rFonts w:hint="eastAsia" w:ascii="宋体" w:hAnsi="宋体" w:eastAsia="宋体" w:cs="宋体"/>
                <w:bCs/>
              </w:rPr>
              <w:t>4 设置在病房楼底层或地下层的洗衣房应避免噪声对病区的干扰；</w:t>
            </w:r>
          </w:p>
          <w:p w14:paraId="71462AE8">
            <w:pPr>
              <w:ind w:firstLine="424" w:firstLineChars="177"/>
              <w:rPr>
                <w:rFonts w:ascii="宋体" w:hAnsi="宋体" w:eastAsia="宋体" w:cs="宋体"/>
                <w:bCs/>
              </w:rPr>
            </w:pPr>
            <w:r>
              <w:rPr>
                <w:rFonts w:hint="eastAsia" w:ascii="宋体" w:hAnsi="宋体" w:eastAsia="宋体" w:cs="宋体"/>
                <w:bCs/>
              </w:rPr>
              <w:t>5 工作人员与患者的洗涤物应分别处理；</w:t>
            </w:r>
          </w:p>
          <w:p w14:paraId="4F80A1C0">
            <w:pPr>
              <w:ind w:firstLine="424" w:firstLineChars="177"/>
            </w:pPr>
            <w:r>
              <w:rPr>
                <w:rFonts w:hint="eastAsia" w:ascii="宋体" w:hAnsi="宋体" w:eastAsia="宋体" w:cs="宋体"/>
                <w:bCs/>
              </w:rPr>
              <w:t>6 当洗衣利用社会化服务时，应设收集、分拣、储存、发放处。</w:t>
            </w:r>
          </w:p>
        </w:tc>
      </w:tr>
      <w:tr w14:paraId="45B9C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E3A93D8">
            <w:pPr>
              <w:jc w:val="center"/>
              <w:rPr>
                <w:rFonts w:asciiTheme="minorEastAsia" w:hAnsiTheme="minorEastAsia"/>
              </w:rPr>
            </w:pPr>
            <w:bookmarkStart w:id="25" w:name="_Toc85880743"/>
            <w:r>
              <w:rPr>
                <w:rFonts w:hint="eastAsia" w:asciiTheme="minorEastAsia" w:hAnsiTheme="minorEastAsia"/>
              </w:rPr>
              <w:t>5.23</w:t>
            </w:r>
            <w:r>
              <w:rPr>
                <w:rFonts w:asciiTheme="minorEastAsia" w:hAnsiTheme="minorEastAsia"/>
              </w:rPr>
              <w:t xml:space="preserve"> </w:t>
            </w:r>
            <w:r>
              <w:rPr>
                <w:rFonts w:hint="eastAsia" w:asciiTheme="minorEastAsia" w:hAnsiTheme="minorEastAsia"/>
              </w:rPr>
              <w:t>太平间</w:t>
            </w:r>
            <w:bookmarkEnd w:id="25"/>
          </w:p>
        </w:tc>
        <w:tc>
          <w:tcPr>
            <w:tcW w:w="4261" w:type="dxa"/>
            <w:shd w:val="clear" w:color="auto" w:fill="auto"/>
          </w:tcPr>
          <w:p w14:paraId="78468DC5">
            <w:pPr>
              <w:jc w:val="center"/>
              <w:rPr>
                <w:rFonts w:asciiTheme="minorEastAsia" w:hAnsiTheme="minorEastAsia"/>
              </w:rPr>
            </w:pPr>
            <w:r>
              <w:rPr>
                <w:rFonts w:hint="eastAsia" w:asciiTheme="minorEastAsia" w:hAnsiTheme="minorEastAsia"/>
              </w:rPr>
              <w:t>5.23</w:t>
            </w:r>
            <w:r>
              <w:rPr>
                <w:rFonts w:asciiTheme="minorEastAsia" w:hAnsiTheme="minorEastAsia"/>
              </w:rPr>
              <w:t xml:space="preserve"> </w:t>
            </w:r>
            <w:r>
              <w:rPr>
                <w:rFonts w:hint="eastAsia" w:asciiTheme="minorEastAsia" w:hAnsiTheme="minorEastAsia"/>
              </w:rPr>
              <w:t>太平间</w:t>
            </w:r>
          </w:p>
        </w:tc>
      </w:tr>
      <w:tr w14:paraId="26704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E131E64">
            <w:pPr>
              <w:widowControl/>
              <w:rPr>
                <w:rFonts w:ascii="宋体" w:hAnsi="宋体" w:eastAsia="宋体"/>
                <w:bCs/>
              </w:rPr>
            </w:pPr>
            <w:r>
              <w:rPr>
                <w:rFonts w:hint="eastAsia" w:ascii="宋体" w:hAnsi="宋体" w:eastAsia="宋体"/>
                <w:bCs/>
              </w:rPr>
              <w:t>5.23.1 太平间位置与平面布置应符合下列要求：</w:t>
            </w:r>
          </w:p>
          <w:p w14:paraId="0E819535">
            <w:pPr>
              <w:ind w:firstLine="480" w:firstLineChars="200"/>
              <w:rPr>
                <w:rFonts w:ascii="宋体" w:hAnsi="宋体" w:eastAsia="宋体" w:cs="宋体"/>
                <w:bCs/>
              </w:rPr>
            </w:pPr>
            <w:r>
              <w:rPr>
                <w:rFonts w:hint="eastAsia" w:ascii="宋体" w:hAnsi="宋体" w:eastAsia="宋体" w:cs="宋体"/>
                <w:bCs/>
              </w:rPr>
              <w:t>1 宜独立建造或设置在住院用房的地下层；</w:t>
            </w:r>
          </w:p>
          <w:p w14:paraId="1C45DE0C">
            <w:pPr>
              <w:ind w:firstLine="480" w:firstLineChars="200"/>
              <w:rPr>
                <w:rFonts w:ascii="宋体" w:hAnsi="宋体" w:eastAsia="宋体" w:cs="宋体"/>
                <w:bCs/>
              </w:rPr>
            </w:pPr>
            <w:r>
              <w:rPr>
                <w:rFonts w:hint="eastAsia" w:ascii="宋体" w:hAnsi="宋体" w:eastAsia="宋体" w:cs="宋体"/>
                <w:bCs/>
                <w:bdr w:val="single" w:color="auto" w:sz="4" w:space="0"/>
              </w:rPr>
              <w:t>2 解剖室应有门通向停尸间；</w:t>
            </w:r>
          </w:p>
          <w:p w14:paraId="03792A7D">
            <w:pPr>
              <w:ind w:firstLine="480" w:firstLineChars="200"/>
            </w:pPr>
            <w:r>
              <w:rPr>
                <w:rFonts w:hint="eastAsia" w:ascii="宋体" w:hAnsi="宋体" w:eastAsia="宋体" w:cs="宋体"/>
                <w:bCs/>
                <w:bdr w:val="single" w:color="auto" w:sz="4" w:space="0"/>
              </w:rPr>
              <w:t>3</w:t>
            </w:r>
            <w:r>
              <w:rPr>
                <w:rFonts w:hint="eastAsia" w:ascii="宋体" w:hAnsi="宋体" w:eastAsia="宋体" w:cs="宋体"/>
                <w:bCs/>
              </w:rPr>
              <w:t xml:space="preserve"> 尸体柜容量宜按不低于总病床数1％～2％计算。</w:t>
            </w:r>
          </w:p>
        </w:tc>
        <w:tc>
          <w:tcPr>
            <w:tcW w:w="4261" w:type="dxa"/>
            <w:shd w:val="clear" w:color="auto" w:fill="auto"/>
          </w:tcPr>
          <w:p w14:paraId="7851EF2F">
            <w:pPr>
              <w:widowControl/>
              <w:rPr>
                <w:rFonts w:ascii="宋体" w:hAnsi="宋体" w:eastAsia="宋体"/>
                <w:bCs/>
              </w:rPr>
            </w:pPr>
            <w:r>
              <w:rPr>
                <w:rFonts w:hint="eastAsia" w:ascii="宋体" w:hAnsi="宋体" w:eastAsia="宋体"/>
                <w:bCs/>
              </w:rPr>
              <w:t>5.23.1 太平间位置与平面布置应符合下列要求：</w:t>
            </w:r>
          </w:p>
          <w:p w14:paraId="7A51E983">
            <w:pPr>
              <w:ind w:firstLine="480" w:firstLineChars="200"/>
              <w:rPr>
                <w:rFonts w:ascii="宋体" w:hAnsi="宋体" w:eastAsia="宋体" w:cs="宋体"/>
                <w:bCs/>
              </w:rPr>
            </w:pPr>
            <w:r>
              <w:rPr>
                <w:rFonts w:hint="eastAsia" w:ascii="宋体" w:hAnsi="宋体" w:eastAsia="宋体" w:cs="宋体"/>
                <w:bCs/>
              </w:rPr>
              <w:t>1 宜独立建造或设置在住院用房的地下层；</w:t>
            </w:r>
          </w:p>
          <w:p w14:paraId="5A5FC0B2">
            <w:pPr>
              <w:ind w:firstLine="480" w:firstLineChars="200"/>
            </w:pPr>
            <w:r>
              <w:rPr>
                <w:rFonts w:hint="eastAsia" w:ascii="宋体" w:hAnsi="宋体" w:eastAsia="宋体" w:cs="宋体"/>
                <w:bCs/>
                <w:u w:val="single"/>
              </w:rPr>
              <w:t>2</w:t>
            </w:r>
            <w:r>
              <w:rPr>
                <w:rFonts w:hint="eastAsia" w:ascii="宋体" w:hAnsi="宋体" w:eastAsia="宋体" w:cs="宋体"/>
                <w:bCs/>
              </w:rPr>
              <w:t xml:space="preserve"> 尸体柜容量宜按不低于总病床数1％～2％计算。</w:t>
            </w:r>
          </w:p>
        </w:tc>
      </w:tr>
      <w:tr w14:paraId="35108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CF44D09">
            <w:r>
              <w:rPr>
                <w:rFonts w:hint="eastAsia" w:asciiTheme="minorEastAsia" w:hAnsiTheme="minorEastAsia"/>
                <w:bCs/>
              </w:rPr>
              <w:t>5.23.2 太平间应设置停尸、</w:t>
            </w:r>
            <w:r>
              <w:rPr>
                <w:rFonts w:hint="eastAsia" w:asciiTheme="minorEastAsia" w:hAnsiTheme="minorEastAsia"/>
                <w:bCs/>
                <w:bdr w:val="single" w:color="auto" w:sz="4" w:space="0"/>
              </w:rPr>
              <w:t>告别、解剖、标本、</w:t>
            </w:r>
            <w:r>
              <w:rPr>
                <w:rFonts w:hint="eastAsia" w:asciiTheme="minorEastAsia" w:hAnsiTheme="minorEastAsia"/>
                <w:bCs/>
              </w:rPr>
              <w:t>值班、更衣、卫生间、器械、洗涤和消毒等用房。</w:t>
            </w:r>
          </w:p>
        </w:tc>
        <w:tc>
          <w:tcPr>
            <w:tcW w:w="4261" w:type="dxa"/>
            <w:shd w:val="clear" w:color="auto" w:fill="auto"/>
          </w:tcPr>
          <w:p w14:paraId="033C22D2">
            <w:r>
              <w:rPr>
                <w:rFonts w:hint="eastAsia" w:asciiTheme="minorEastAsia" w:hAnsiTheme="minorEastAsia"/>
                <w:bCs/>
              </w:rPr>
              <w:t>5.23.2 太平间应设置停尸、值班、更衣、卫生间、器械、洗涤和消毒等用房。</w:t>
            </w:r>
          </w:p>
        </w:tc>
      </w:tr>
      <w:tr w14:paraId="793DB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76C906B">
            <w:pPr>
              <w:jc w:val="center"/>
              <w:rPr>
                <w:rFonts w:asciiTheme="minorEastAsia" w:hAnsiTheme="minorEastAsia"/>
              </w:rPr>
            </w:pPr>
            <w:bookmarkStart w:id="26" w:name="_Toc85880744"/>
            <w:r>
              <w:rPr>
                <w:rFonts w:hint="eastAsia" w:asciiTheme="minorEastAsia" w:hAnsiTheme="minorEastAsia"/>
              </w:rPr>
              <w:t>5.24</w:t>
            </w:r>
            <w:r>
              <w:rPr>
                <w:rFonts w:asciiTheme="minorEastAsia" w:hAnsiTheme="minorEastAsia"/>
              </w:rPr>
              <w:t xml:space="preserve"> </w:t>
            </w:r>
            <w:r>
              <w:rPr>
                <w:rFonts w:hint="eastAsia" w:asciiTheme="minorEastAsia" w:hAnsiTheme="minorEastAsia"/>
              </w:rPr>
              <w:t>防火与疏散</w:t>
            </w:r>
            <w:bookmarkEnd w:id="26"/>
          </w:p>
        </w:tc>
        <w:tc>
          <w:tcPr>
            <w:tcW w:w="4261" w:type="dxa"/>
            <w:shd w:val="clear" w:color="auto" w:fill="auto"/>
          </w:tcPr>
          <w:p w14:paraId="7AED3601">
            <w:pPr>
              <w:jc w:val="center"/>
              <w:rPr>
                <w:rFonts w:asciiTheme="minorEastAsia" w:hAnsiTheme="minorEastAsia"/>
              </w:rPr>
            </w:pPr>
            <w:r>
              <w:rPr>
                <w:rFonts w:hint="eastAsia" w:asciiTheme="minorEastAsia" w:hAnsiTheme="minorEastAsia"/>
              </w:rPr>
              <w:t>5.24</w:t>
            </w:r>
            <w:r>
              <w:rPr>
                <w:rFonts w:asciiTheme="minorEastAsia" w:hAnsiTheme="minorEastAsia"/>
              </w:rPr>
              <w:t xml:space="preserve"> </w:t>
            </w:r>
            <w:r>
              <w:rPr>
                <w:rFonts w:hint="eastAsia" w:asciiTheme="minorEastAsia" w:hAnsiTheme="minorEastAsia"/>
              </w:rPr>
              <w:t>防火与疏散</w:t>
            </w:r>
          </w:p>
        </w:tc>
      </w:tr>
      <w:tr w14:paraId="2D56A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065EF1C">
            <w:r>
              <w:rPr>
                <w:rFonts w:hint="eastAsia" w:asciiTheme="minorEastAsia" w:hAnsiTheme="minorEastAsia"/>
                <w:bCs/>
              </w:rPr>
              <w:t>5.24.1 医院建筑耐火等级不</w:t>
            </w:r>
            <w:r>
              <w:rPr>
                <w:rFonts w:hint="eastAsia" w:asciiTheme="minorEastAsia" w:hAnsiTheme="minorEastAsia"/>
                <w:bCs/>
                <w:bdr w:val="single" w:color="auto" w:sz="4" w:space="0"/>
              </w:rPr>
              <w:t>应</w:t>
            </w:r>
            <w:r>
              <w:rPr>
                <w:rFonts w:hint="eastAsia" w:asciiTheme="minorEastAsia" w:hAnsiTheme="minorEastAsia"/>
                <w:bCs/>
              </w:rPr>
              <w:t>低于二级。</w:t>
            </w:r>
          </w:p>
        </w:tc>
        <w:tc>
          <w:tcPr>
            <w:tcW w:w="4261" w:type="dxa"/>
            <w:shd w:val="clear" w:color="auto" w:fill="auto"/>
          </w:tcPr>
          <w:p w14:paraId="7192F1E4">
            <w:r>
              <w:rPr>
                <w:rFonts w:hint="eastAsia" w:asciiTheme="minorEastAsia" w:hAnsiTheme="minorEastAsia"/>
                <w:bCs/>
              </w:rPr>
              <w:t>5.24.1 医院建筑耐火等级</w:t>
            </w:r>
            <w:r>
              <w:rPr>
                <w:rFonts w:hint="eastAsia" w:asciiTheme="minorEastAsia" w:hAnsiTheme="minorEastAsia"/>
                <w:bCs/>
                <w:u w:val="single"/>
              </w:rPr>
              <w:t>应根据其建筑高度、使用功能等确定，</w:t>
            </w:r>
            <w:r>
              <w:rPr>
                <w:rFonts w:hint="eastAsia" w:asciiTheme="minorEastAsia" w:hAnsiTheme="minorEastAsia"/>
                <w:bCs/>
              </w:rPr>
              <w:t>不</w:t>
            </w:r>
            <w:r>
              <w:rPr>
                <w:rFonts w:hint="eastAsia" w:asciiTheme="minorEastAsia" w:hAnsiTheme="minorEastAsia"/>
                <w:bCs/>
                <w:u w:val="single"/>
              </w:rPr>
              <w:t>宜</w:t>
            </w:r>
            <w:r>
              <w:rPr>
                <w:rFonts w:hint="eastAsia" w:asciiTheme="minorEastAsia" w:hAnsiTheme="minorEastAsia"/>
                <w:bCs/>
              </w:rPr>
              <w:t>低于二级。</w:t>
            </w:r>
          </w:p>
        </w:tc>
      </w:tr>
      <w:tr w14:paraId="1FC37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7345874">
            <w:pPr>
              <w:widowControl/>
              <w:rPr>
                <w:rFonts w:ascii="宋体" w:hAnsi="宋体" w:eastAsia="宋体"/>
                <w:bCs/>
              </w:rPr>
            </w:pPr>
            <w:r>
              <w:rPr>
                <w:rFonts w:hint="eastAsia" w:ascii="宋体" w:hAnsi="宋体" w:eastAsia="宋体"/>
                <w:bCs/>
              </w:rPr>
              <w:t>5.24.2 防火分区应符合下列要求：</w:t>
            </w:r>
          </w:p>
          <w:p w14:paraId="5E323819">
            <w:pPr>
              <w:ind w:firstLine="480" w:firstLineChars="200"/>
              <w:rPr>
                <w:rFonts w:ascii="宋体" w:hAnsi="宋体" w:eastAsia="宋体" w:cs="宋体"/>
                <w:bCs/>
              </w:rPr>
            </w:pPr>
            <w:r>
              <w:rPr>
                <w:rFonts w:hint="eastAsia" w:ascii="宋体" w:hAnsi="宋体" w:eastAsia="宋体" w:cs="宋体"/>
                <w:bCs/>
              </w:rPr>
              <w:t>1 医院建筑的防火分区应结合建筑布局和功能分区划分。</w:t>
            </w:r>
          </w:p>
          <w:p w14:paraId="479F0EBE">
            <w:pPr>
              <w:ind w:firstLine="480" w:firstLineChars="200"/>
              <w:rPr>
                <w:rFonts w:ascii="宋体" w:hAnsi="宋体" w:eastAsia="宋体" w:cs="宋体"/>
                <w:bCs/>
              </w:rPr>
            </w:pPr>
            <w:r>
              <w:rPr>
                <w:rFonts w:hint="eastAsia" w:ascii="宋体" w:hAnsi="宋体" w:eastAsia="宋体" w:cs="宋体"/>
                <w:bCs/>
              </w:rPr>
              <w:t>2 防火分区的面积除应按建筑物的耐火等级和建筑高度确定外，病房部分每层防火分区内，尚应根据面积大小和疏散路线进行再分隔。同层有2个及2个以上护理单元时，通向公共走道的单元入口处应设乙级防火门。</w:t>
            </w:r>
          </w:p>
          <w:p w14:paraId="3C056BEF">
            <w:pPr>
              <w:ind w:firstLine="480" w:firstLineChars="200"/>
              <w:rPr>
                <w:rFonts w:ascii="宋体" w:hAnsi="宋体" w:eastAsia="宋体" w:cs="宋体"/>
                <w:bCs/>
                <w:bdr w:val="single" w:color="auto" w:sz="4" w:space="0"/>
              </w:rPr>
            </w:pPr>
            <w:r>
              <w:rPr>
                <w:rFonts w:hint="eastAsia" w:ascii="宋体" w:hAnsi="宋体" w:eastAsia="宋体" w:cs="宋体"/>
                <w:bCs/>
                <w:bdr w:val="single" w:color="auto" w:sz="4" w:space="0"/>
              </w:rPr>
              <w:t>3 高层建筑内的门诊大厅，设有火灾自动报警系统和自动灭火系统并采用不燃或难燃材料装修时，地上部分防火分区的允许最大建筑面积应为4000m²。</w:t>
            </w:r>
          </w:p>
          <w:p w14:paraId="370A92A8">
            <w:pPr>
              <w:ind w:firstLine="480" w:firstLineChars="200"/>
              <w:rPr>
                <w:rFonts w:ascii="宋体" w:hAnsi="宋体" w:eastAsia="宋体" w:cs="宋体"/>
                <w:bCs/>
                <w:bdr w:val="single" w:color="auto" w:sz="4" w:space="0"/>
              </w:rPr>
            </w:pPr>
            <w:r>
              <w:rPr>
                <w:rFonts w:hint="eastAsia" w:ascii="宋体" w:hAnsi="宋体" w:eastAsia="宋体" w:cs="宋体"/>
                <w:bCs/>
                <w:bdr w:val="single" w:color="auto" w:sz="4" w:space="0"/>
              </w:rPr>
              <w:t>4 医院建筑内的手术部，当设有火灾自动报警系统，并采用不燃烧或难燃烧材料装修时，地上部分防火分区的允许最大建筑面积应为4000m²。</w:t>
            </w:r>
          </w:p>
          <w:p w14:paraId="26643AAD">
            <w:pPr>
              <w:ind w:firstLine="480" w:firstLineChars="200"/>
            </w:pPr>
            <w:r>
              <w:rPr>
                <w:rFonts w:hint="eastAsia" w:ascii="宋体" w:hAnsi="宋体" w:eastAsia="宋体" w:cs="宋体"/>
                <w:bCs/>
                <w:bdr w:val="single" w:color="auto" w:sz="4" w:space="0"/>
              </w:rPr>
              <w:t>5 防火分区内的病房、产房、手术部、精密贵重医疗设备用房等，均应采用耐火极限不低于2.00h的不燃烧体与其他部分隔开。</w:t>
            </w:r>
          </w:p>
        </w:tc>
        <w:tc>
          <w:tcPr>
            <w:tcW w:w="4261" w:type="dxa"/>
            <w:shd w:val="clear" w:color="auto" w:fill="auto"/>
          </w:tcPr>
          <w:p w14:paraId="5DC70F22">
            <w:pPr>
              <w:widowControl/>
              <w:rPr>
                <w:rFonts w:ascii="宋体" w:hAnsi="宋体" w:eastAsia="宋体"/>
                <w:bCs/>
              </w:rPr>
            </w:pPr>
            <w:r>
              <w:rPr>
                <w:rFonts w:hint="eastAsia" w:ascii="宋体" w:hAnsi="宋体" w:eastAsia="宋体"/>
                <w:bCs/>
              </w:rPr>
              <w:t>5.24.2 防火分区应符合下列要求：</w:t>
            </w:r>
          </w:p>
          <w:p w14:paraId="389C8436">
            <w:pPr>
              <w:ind w:firstLine="480" w:firstLineChars="200"/>
              <w:rPr>
                <w:rFonts w:ascii="宋体" w:hAnsi="宋体" w:eastAsia="宋体" w:cs="宋体"/>
                <w:bCs/>
              </w:rPr>
            </w:pPr>
            <w:r>
              <w:rPr>
                <w:rFonts w:hint="eastAsia" w:ascii="宋体" w:hAnsi="宋体" w:eastAsia="宋体" w:cs="宋体"/>
                <w:bCs/>
              </w:rPr>
              <w:t>1 医院建筑的防火分区应结合建筑布局和功能分区划分。</w:t>
            </w:r>
          </w:p>
          <w:p w14:paraId="6E2BC221">
            <w:pPr>
              <w:ind w:firstLine="480" w:firstLineChars="200"/>
            </w:pPr>
            <w:r>
              <w:rPr>
                <w:rFonts w:hint="eastAsia" w:ascii="宋体" w:hAnsi="宋体" w:eastAsia="宋体" w:cs="宋体"/>
                <w:bCs/>
              </w:rPr>
              <w:t>2 防火分区的面积除应按建筑物的耐火等级和建筑高度确定外，病房部分每层防火分区内，尚应根据面积大小和疏散路线进行再分隔。同层有2个及2个以上护理单元时，通向公共走道的单元入口处应设乙级防火门。</w:t>
            </w:r>
          </w:p>
        </w:tc>
      </w:tr>
      <w:tr w14:paraId="30D51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E69E846">
            <w:pPr>
              <w:widowControl/>
              <w:rPr>
                <w:rFonts w:ascii="宋体" w:hAnsi="宋体" w:eastAsia="宋体"/>
                <w:bCs/>
                <w:bdr w:val="single" w:color="auto" w:sz="4" w:space="0"/>
              </w:rPr>
            </w:pPr>
            <w:r>
              <w:rPr>
                <w:rFonts w:hint="eastAsia" w:ascii="宋体" w:hAnsi="宋体" w:eastAsia="宋体"/>
                <w:bCs/>
              </w:rPr>
              <w:t>5.24.3 安全出口应符合</w:t>
            </w:r>
            <w:r>
              <w:rPr>
                <w:rFonts w:hint="eastAsia" w:ascii="宋体" w:hAnsi="宋体" w:eastAsia="宋体"/>
                <w:bCs/>
                <w:bdr w:val="single" w:color="auto" w:sz="4" w:space="0"/>
              </w:rPr>
              <w:t>下列要求：</w:t>
            </w:r>
          </w:p>
          <w:p w14:paraId="7000B42C">
            <w:pPr>
              <w:widowControl/>
              <w:ind w:firstLine="480" w:firstLineChars="200"/>
              <w:rPr>
                <w:rFonts w:ascii="宋体" w:hAnsi="宋体" w:eastAsia="宋体" w:cs="宋体"/>
                <w:bCs/>
                <w:kern w:val="0"/>
                <w:bdr w:val="single" w:color="auto" w:sz="4" w:space="0"/>
              </w:rPr>
            </w:pPr>
            <w:r>
              <w:rPr>
                <w:rFonts w:hint="eastAsia" w:ascii="宋体" w:hAnsi="宋体" w:eastAsia="宋体" w:cs="宋体"/>
                <w:bCs/>
                <w:kern w:val="0"/>
                <w:bdr w:val="single" w:color="auto" w:sz="4" w:space="0"/>
              </w:rPr>
              <w:t>1 每个护理单元应有2个不同方向的安全出口；</w:t>
            </w:r>
          </w:p>
          <w:p w14:paraId="47783635">
            <w:pPr>
              <w:widowControl/>
              <w:ind w:firstLine="480" w:firstLineChars="200"/>
            </w:pPr>
            <w:r>
              <w:rPr>
                <w:rFonts w:hint="eastAsia" w:ascii="宋体" w:hAnsi="宋体" w:eastAsia="宋体" w:cs="宋体"/>
                <w:bCs/>
                <w:kern w:val="0"/>
                <w:bdr w:val="single" w:color="auto" w:sz="4" w:space="0"/>
              </w:rPr>
              <w:t>2 尽端式护理单元，或自成一区的治疗用房，其最远一个房间门至外部安全出口的距离和房间内最远一点到房门的距离，均未超过建筑设计防火规范规定时，可设1个安全出口。</w:t>
            </w:r>
          </w:p>
        </w:tc>
        <w:tc>
          <w:tcPr>
            <w:tcW w:w="4261" w:type="dxa"/>
            <w:shd w:val="clear" w:color="auto" w:fill="auto"/>
          </w:tcPr>
          <w:p w14:paraId="69C4754E">
            <w:pPr>
              <w:widowControl/>
            </w:pPr>
            <w:r>
              <w:rPr>
                <w:rFonts w:hint="eastAsia" w:ascii="宋体" w:hAnsi="宋体" w:eastAsia="宋体"/>
                <w:bCs/>
              </w:rPr>
              <w:t>5.24.3 安全出口应符合</w:t>
            </w:r>
            <w:r>
              <w:rPr>
                <w:rFonts w:hint="eastAsia" w:ascii="宋体" w:hAnsi="宋体" w:eastAsia="宋体"/>
                <w:bCs/>
                <w:u w:val="single"/>
              </w:rPr>
              <w:t>《建筑设计防火规范》</w:t>
            </w:r>
            <w:r>
              <w:fldChar w:fldCharType="begin"/>
            </w:r>
            <w:r>
              <w:instrText xml:space="preserve"> HYPERLINK "http://www.jianbiaoku.com/webarbs/book/56160/3661447.shtml" \t "_blank" \o "建筑设计防火规范[附条文说明]GB 50016-2014（2018年版）" </w:instrText>
            </w:r>
            <w:r>
              <w:fldChar w:fldCharType="separate"/>
            </w:r>
            <w:r>
              <w:rPr>
                <w:rFonts w:hint="eastAsia" w:ascii="宋体" w:hAnsi="宋体" w:eastAsia="宋体"/>
                <w:bCs/>
                <w:u w:val="single"/>
              </w:rPr>
              <w:t>GB50016</w:t>
            </w:r>
            <w:r>
              <w:rPr>
                <w:rFonts w:hint="eastAsia" w:ascii="宋体" w:hAnsi="宋体" w:eastAsia="宋体"/>
                <w:bCs/>
                <w:u w:val="single"/>
              </w:rPr>
              <w:fldChar w:fldCharType="end"/>
            </w:r>
            <w:r>
              <w:rPr>
                <w:rFonts w:ascii="宋体" w:hAnsi="宋体" w:eastAsia="宋体"/>
                <w:bCs/>
                <w:u w:val="single"/>
              </w:rPr>
              <w:t>的相关要求。</w:t>
            </w:r>
          </w:p>
        </w:tc>
      </w:tr>
      <w:tr w14:paraId="1B59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75FE484">
            <w:r>
              <w:rPr>
                <w:rFonts w:hint="eastAsia" w:asciiTheme="minorEastAsia" w:hAnsiTheme="minorEastAsia"/>
                <w:bCs/>
              </w:rPr>
              <w:t>5</w:t>
            </w:r>
            <w:r>
              <w:rPr>
                <w:rFonts w:asciiTheme="minorEastAsia" w:hAnsiTheme="minorEastAsia"/>
                <w:bCs/>
              </w:rPr>
              <w:t xml:space="preserve">.24.5 </w:t>
            </w:r>
            <w:r>
              <w:rPr>
                <w:rFonts w:hint="eastAsia" w:cs="宋体" w:asciiTheme="minorEastAsia" w:hAnsiTheme="minorEastAsia"/>
                <w:bCs/>
                <w:bdr w:val="single" w:color="auto" w:sz="4" w:space="0"/>
              </w:rPr>
              <w:t>中心供氧用房应远离热源、火源和易燃易爆源。</w:t>
            </w:r>
          </w:p>
        </w:tc>
        <w:tc>
          <w:tcPr>
            <w:tcW w:w="4261" w:type="dxa"/>
            <w:shd w:val="clear" w:color="auto" w:fill="auto"/>
          </w:tcPr>
          <w:p w14:paraId="24CE59D9">
            <w:r>
              <w:rPr>
                <w:rFonts w:hint="eastAsia" w:asciiTheme="minorEastAsia" w:hAnsiTheme="minorEastAsia"/>
                <w:bCs/>
              </w:rPr>
              <w:t>5</w:t>
            </w:r>
            <w:r>
              <w:rPr>
                <w:rFonts w:asciiTheme="minorEastAsia" w:hAnsiTheme="minorEastAsia"/>
                <w:bCs/>
              </w:rPr>
              <w:t xml:space="preserve">.24.5 </w:t>
            </w:r>
            <w:r>
              <w:rPr>
                <w:rFonts w:hint="eastAsia" w:asciiTheme="minorEastAsia" w:hAnsiTheme="minorEastAsia"/>
                <w:bCs/>
                <w:u w:val="single"/>
              </w:rPr>
              <w:t>手术室</w:t>
            </w:r>
            <w:r>
              <w:rPr>
                <w:rFonts w:asciiTheme="minorEastAsia" w:hAnsiTheme="minorEastAsia"/>
                <w:bCs/>
                <w:u w:val="single"/>
              </w:rPr>
              <w:t>、</w:t>
            </w:r>
            <w:r>
              <w:rPr>
                <w:rFonts w:hint="eastAsia" w:asciiTheme="minorEastAsia" w:hAnsiTheme="minorEastAsia"/>
                <w:bCs/>
                <w:u w:val="single"/>
              </w:rPr>
              <w:t>重症监护的移动</w:t>
            </w:r>
            <w:r>
              <w:rPr>
                <w:rFonts w:asciiTheme="minorEastAsia" w:hAnsiTheme="minorEastAsia"/>
                <w:bCs/>
                <w:u w:val="single"/>
              </w:rPr>
              <w:t>门</w:t>
            </w:r>
            <w:r>
              <w:rPr>
                <w:rFonts w:hint="eastAsia" w:asciiTheme="minorEastAsia" w:hAnsiTheme="minorEastAsia"/>
                <w:bCs/>
                <w:u w:val="single"/>
              </w:rPr>
              <w:t>和</w:t>
            </w:r>
            <w:r>
              <w:rPr>
                <w:rFonts w:asciiTheme="minorEastAsia" w:hAnsiTheme="minorEastAsia"/>
                <w:bCs/>
                <w:u w:val="single"/>
              </w:rPr>
              <w:t>影像科</w:t>
            </w:r>
            <w:r>
              <w:rPr>
                <w:rFonts w:hint="eastAsia" w:asciiTheme="minorEastAsia" w:hAnsiTheme="minorEastAsia"/>
                <w:bCs/>
                <w:u w:val="single"/>
              </w:rPr>
              <w:t>等</w:t>
            </w:r>
            <w:r>
              <w:rPr>
                <w:rFonts w:asciiTheme="minorEastAsia" w:hAnsiTheme="minorEastAsia"/>
                <w:bCs/>
                <w:u w:val="single"/>
              </w:rPr>
              <w:t>的大型医疗设备屏蔽防护</w:t>
            </w:r>
            <w:r>
              <w:rPr>
                <w:rFonts w:hint="eastAsia" w:asciiTheme="minorEastAsia" w:hAnsiTheme="minorEastAsia"/>
                <w:bCs/>
                <w:u w:val="single"/>
              </w:rPr>
              <w:t>门</w:t>
            </w:r>
            <w:r>
              <w:rPr>
                <w:rFonts w:asciiTheme="minorEastAsia" w:hAnsiTheme="minorEastAsia"/>
                <w:bCs/>
                <w:u w:val="single"/>
              </w:rPr>
              <w:t>，当</w:t>
            </w:r>
            <w:r>
              <w:rPr>
                <w:rFonts w:hint="eastAsia" w:asciiTheme="minorEastAsia" w:hAnsiTheme="minorEastAsia"/>
                <w:bCs/>
                <w:u w:val="single"/>
              </w:rPr>
              <w:t>与</w:t>
            </w:r>
            <w:r>
              <w:rPr>
                <w:rFonts w:asciiTheme="minorEastAsia" w:hAnsiTheme="minorEastAsia"/>
                <w:bCs/>
                <w:u w:val="single"/>
              </w:rPr>
              <w:t>火灾自动报警系统联动并采用相应措施时，可作为疏散门</w:t>
            </w:r>
            <w:r>
              <w:rPr>
                <w:rFonts w:hint="eastAsia" w:asciiTheme="minorEastAsia" w:hAnsiTheme="minorEastAsia"/>
                <w:bCs/>
                <w:u w:val="single"/>
              </w:rPr>
              <w:t>。</w:t>
            </w:r>
          </w:p>
        </w:tc>
      </w:tr>
      <w:tr w14:paraId="636B0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06CDB6E">
            <w:pPr>
              <w:jc w:val="center"/>
              <w:rPr>
                <w:rFonts w:asciiTheme="minorEastAsia" w:hAnsiTheme="minorEastAsia"/>
              </w:rPr>
            </w:pPr>
          </w:p>
        </w:tc>
        <w:tc>
          <w:tcPr>
            <w:tcW w:w="4261" w:type="dxa"/>
            <w:shd w:val="clear" w:color="auto" w:fill="auto"/>
          </w:tcPr>
          <w:p w14:paraId="6B2AC8ED">
            <w:pPr>
              <w:jc w:val="center"/>
              <w:rPr>
                <w:rFonts w:asciiTheme="minorEastAsia" w:hAnsiTheme="minorEastAsia"/>
                <w:u w:val="single"/>
              </w:rPr>
            </w:pPr>
            <w:bookmarkStart w:id="27" w:name="_Toc85880745"/>
            <w:r>
              <w:rPr>
                <w:rFonts w:hint="eastAsia" w:asciiTheme="minorEastAsia" w:hAnsiTheme="minorEastAsia"/>
                <w:u w:val="single"/>
              </w:rPr>
              <w:t>5</w:t>
            </w:r>
            <w:r>
              <w:rPr>
                <w:rFonts w:asciiTheme="minorEastAsia" w:hAnsiTheme="minorEastAsia"/>
                <w:u w:val="single"/>
              </w:rPr>
              <w:t>.</w:t>
            </w:r>
            <w:r>
              <w:rPr>
                <w:rFonts w:hint="eastAsia" w:asciiTheme="minorEastAsia" w:hAnsiTheme="minorEastAsia"/>
                <w:u w:val="single"/>
              </w:rPr>
              <w:t>25</w:t>
            </w:r>
            <w:r>
              <w:rPr>
                <w:rFonts w:asciiTheme="minorEastAsia" w:hAnsiTheme="minorEastAsia"/>
                <w:u w:val="single"/>
              </w:rPr>
              <w:t xml:space="preserve"> </w:t>
            </w:r>
            <w:r>
              <w:rPr>
                <w:rFonts w:hint="eastAsia" w:asciiTheme="minorEastAsia" w:hAnsiTheme="minorEastAsia"/>
                <w:u w:val="single"/>
              </w:rPr>
              <w:t>“平疫结合”区</w:t>
            </w:r>
            <w:bookmarkEnd w:id="27"/>
          </w:p>
        </w:tc>
      </w:tr>
      <w:tr w14:paraId="4D2A5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D0EB70C"/>
        </w:tc>
        <w:tc>
          <w:tcPr>
            <w:tcW w:w="4261" w:type="dxa"/>
            <w:shd w:val="clear" w:color="auto" w:fill="auto"/>
          </w:tcPr>
          <w:p w14:paraId="5890FC42">
            <w:r>
              <w:rPr>
                <w:rFonts w:hint="eastAsia" w:cs="黑体" w:asciiTheme="minorEastAsia" w:hAnsiTheme="minorEastAsia"/>
                <w:u w:val="single"/>
              </w:rPr>
              <w:t>5.25.1 “平疫结合”区应配置与所承担任务匹配的门急诊、检验、手术、重症监护、住院等医疗功能，兼顾平时、疫时的使用。部分功能可采取移动设施或通过疫情期间临时改造、搭建方式实现。</w:t>
            </w:r>
          </w:p>
        </w:tc>
      </w:tr>
      <w:tr w14:paraId="0C0FA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E03ECAE"/>
        </w:tc>
        <w:tc>
          <w:tcPr>
            <w:tcW w:w="4261" w:type="dxa"/>
            <w:shd w:val="clear" w:color="auto" w:fill="auto"/>
          </w:tcPr>
          <w:p w14:paraId="579BB8DC">
            <w:r>
              <w:rPr>
                <w:rFonts w:hint="eastAsia" w:cs="黑体" w:asciiTheme="minorEastAsia" w:hAnsiTheme="minorEastAsia"/>
                <w:u w:val="single"/>
              </w:rPr>
              <w:t>5.25.2</w:t>
            </w:r>
            <w:r>
              <w:rPr>
                <w:rFonts w:cs="黑体" w:asciiTheme="minorEastAsia" w:hAnsiTheme="minorEastAsia"/>
                <w:u w:val="single"/>
              </w:rPr>
              <w:t xml:space="preserve"> </w:t>
            </w:r>
            <w:r>
              <w:rPr>
                <w:rFonts w:hint="eastAsia" w:cs="黑体" w:asciiTheme="minorEastAsia" w:hAnsiTheme="minorEastAsia"/>
                <w:u w:val="single"/>
              </w:rPr>
              <w:t>“平疫结合”区宜充分利用感染疾病用房。</w:t>
            </w:r>
          </w:p>
        </w:tc>
      </w:tr>
      <w:tr w14:paraId="553C7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E1F102C"/>
        </w:tc>
        <w:tc>
          <w:tcPr>
            <w:tcW w:w="4261" w:type="dxa"/>
            <w:shd w:val="clear" w:color="auto" w:fill="auto"/>
          </w:tcPr>
          <w:p w14:paraId="28BC274D">
            <w:r>
              <w:rPr>
                <w:rFonts w:hint="eastAsia" w:cs="黑体" w:asciiTheme="minorEastAsia" w:hAnsiTheme="minorEastAsia"/>
                <w:u w:val="single"/>
              </w:rPr>
              <w:t>5.25.3</w:t>
            </w:r>
            <w:r>
              <w:rPr>
                <w:rFonts w:cs="黑体" w:asciiTheme="minorEastAsia" w:hAnsiTheme="minorEastAsia"/>
                <w:u w:val="single"/>
              </w:rPr>
              <w:t xml:space="preserve"> </w:t>
            </w:r>
            <w:r>
              <w:rPr>
                <w:rFonts w:hint="eastAsia" w:cs="黑体" w:asciiTheme="minorEastAsia" w:hAnsiTheme="minorEastAsia"/>
                <w:u w:val="single"/>
              </w:rPr>
              <w:t>“平疫结合”区的医技科室应当与其门诊、住院部保持便捷联系。</w:t>
            </w:r>
          </w:p>
        </w:tc>
      </w:tr>
      <w:tr w14:paraId="3F9E2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1F82055"/>
        </w:tc>
        <w:tc>
          <w:tcPr>
            <w:tcW w:w="4261" w:type="dxa"/>
            <w:shd w:val="clear" w:color="auto" w:fill="auto"/>
          </w:tcPr>
          <w:p w14:paraId="06FD5478">
            <w:r>
              <w:rPr>
                <w:rFonts w:hint="eastAsia" w:cs="黑体" w:asciiTheme="minorEastAsia" w:hAnsiTheme="minorEastAsia"/>
                <w:u w:val="single"/>
              </w:rPr>
              <w:t>5.25.4</w:t>
            </w:r>
            <w:r>
              <w:rPr>
                <w:rFonts w:cs="黑体" w:asciiTheme="minorEastAsia" w:hAnsiTheme="minorEastAsia"/>
                <w:u w:val="single"/>
              </w:rPr>
              <w:t xml:space="preserve"> </w:t>
            </w:r>
            <w:r>
              <w:rPr>
                <w:rFonts w:hint="eastAsia" w:cs="黑体" w:asciiTheme="minorEastAsia" w:hAnsiTheme="minorEastAsia"/>
                <w:u w:val="single"/>
              </w:rPr>
              <w:t>“平疫结合”区在</w:t>
            </w:r>
            <w:r>
              <w:rPr>
                <w:rFonts w:cs="黑体" w:asciiTheme="minorEastAsia" w:hAnsiTheme="minorEastAsia"/>
                <w:u w:val="single"/>
              </w:rPr>
              <w:t>疫情时</w:t>
            </w:r>
            <w:r>
              <w:rPr>
                <w:rFonts w:hint="eastAsia" w:cs="黑体" w:asciiTheme="minorEastAsia" w:hAnsiTheme="minorEastAsia"/>
                <w:u w:val="single"/>
              </w:rPr>
              <w:t>平面应划分为清洁区、半污染区、污染区，并设置醒目标识。三区应无交叉，相互间应根据需要,设置卫生通过用房。</w:t>
            </w:r>
          </w:p>
        </w:tc>
      </w:tr>
      <w:tr w14:paraId="67CCC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FCA0B91"/>
        </w:tc>
        <w:tc>
          <w:tcPr>
            <w:tcW w:w="4261" w:type="dxa"/>
            <w:shd w:val="clear" w:color="auto" w:fill="auto"/>
          </w:tcPr>
          <w:p w14:paraId="252A6E0D">
            <w:r>
              <w:rPr>
                <w:rFonts w:hint="eastAsia" w:cs="黑体" w:asciiTheme="minorEastAsia" w:hAnsiTheme="minorEastAsia"/>
                <w:u w:val="single"/>
              </w:rPr>
              <w:t>5.25.5</w:t>
            </w:r>
            <w:r>
              <w:rPr>
                <w:rFonts w:cs="黑体" w:asciiTheme="minorEastAsia" w:hAnsiTheme="minorEastAsia"/>
                <w:u w:val="single"/>
              </w:rPr>
              <w:t xml:space="preserve"> </w:t>
            </w:r>
            <w:r>
              <w:rPr>
                <w:rFonts w:hint="eastAsia" w:cs="黑体" w:asciiTheme="minorEastAsia" w:hAnsiTheme="minorEastAsia"/>
                <w:u w:val="single"/>
              </w:rPr>
              <w:t>“平疫结合”区平合理设置清洁通道、污染通道，及患者出入口和医务人员通道，合理组织清洁物品和污染物品流线，控制院内交叉感染。各出入口、通道应当设有醒目标识，避免误入。</w:t>
            </w:r>
          </w:p>
        </w:tc>
      </w:tr>
      <w:tr w14:paraId="76209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361E26E"/>
        </w:tc>
        <w:tc>
          <w:tcPr>
            <w:tcW w:w="4261" w:type="dxa"/>
            <w:shd w:val="clear" w:color="auto" w:fill="auto"/>
          </w:tcPr>
          <w:p w14:paraId="7D385BA4">
            <w:r>
              <w:rPr>
                <w:rFonts w:hint="eastAsia" w:cs="黑体" w:asciiTheme="minorEastAsia" w:hAnsiTheme="minorEastAsia"/>
                <w:u w:val="single"/>
              </w:rPr>
              <w:t>5.25.6</w:t>
            </w:r>
            <w:r>
              <w:rPr>
                <w:rFonts w:cs="黑体" w:asciiTheme="minorEastAsia" w:hAnsiTheme="minorEastAsia"/>
                <w:u w:val="single"/>
              </w:rPr>
              <w:t xml:space="preserve"> </w:t>
            </w:r>
            <w:r>
              <w:rPr>
                <w:rFonts w:hint="eastAsia" w:cs="黑体" w:asciiTheme="minorEastAsia" w:hAnsiTheme="minorEastAsia"/>
                <w:u w:val="single"/>
              </w:rPr>
              <w:t>“平疫结合”区住院部应相对独立、设单独出入口。功能布局在满足平时使用要求的基础上，应参照执行《传染病医院建筑设计规范》（GB50849）的有关规定。</w:t>
            </w:r>
          </w:p>
        </w:tc>
      </w:tr>
      <w:tr w14:paraId="565F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0941E5F"/>
        </w:tc>
        <w:tc>
          <w:tcPr>
            <w:tcW w:w="4261" w:type="dxa"/>
            <w:shd w:val="clear" w:color="auto" w:fill="auto"/>
          </w:tcPr>
          <w:p w14:paraId="3D5DE679">
            <w:r>
              <w:rPr>
                <w:rFonts w:hint="eastAsia" w:cs="黑体" w:asciiTheme="minorEastAsia" w:hAnsiTheme="minorEastAsia"/>
                <w:u w:val="single"/>
              </w:rPr>
              <w:t>5.25.7</w:t>
            </w:r>
            <w:r>
              <w:rPr>
                <w:rFonts w:cs="黑体" w:asciiTheme="minorEastAsia" w:hAnsiTheme="minorEastAsia"/>
                <w:u w:val="single"/>
              </w:rPr>
              <w:t xml:space="preserve"> </w:t>
            </w:r>
            <w:r>
              <w:rPr>
                <w:rFonts w:hint="eastAsia" w:cs="黑体" w:asciiTheme="minorEastAsia" w:hAnsiTheme="minorEastAsia"/>
                <w:u w:val="single"/>
              </w:rPr>
              <w:t>应根据服务规模及工作流程要求，合理确定卫生通过的面积规模。</w:t>
            </w:r>
          </w:p>
        </w:tc>
      </w:tr>
      <w:tr w14:paraId="635BE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4313372"/>
        </w:tc>
        <w:tc>
          <w:tcPr>
            <w:tcW w:w="4261" w:type="dxa"/>
            <w:shd w:val="clear" w:color="auto" w:fill="auto"/>
          </w:tcPr>
          <w:p w14:paraId="7E8F87DC">
            <w:r>
              <w:rPr>
                <w:rFonts w:hint="eastAsia" w:cs="黑体" w:asciiTheme="minorEastAsia" w:hAnsiTheme="minorEastAsia"/>
                <w:u w:val="single"/>
              </w:rPr>
              <w:t>5.25.8 “平疫结合”区应根据承担职责设置必要防疫物资储存库房。</w:t>
            </w:r>
          </w:p>
        </w:tc>
      </w:tr>
      <w:tr w14:paraId="03C8D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0800068"/>
        </w:tc>
        <w:tc>
          <w:tcPr>
            <w:tcW w:w="4261" w:type="dxa"/>
            <w:shd w:val="clear" w:color="auto" w:fill="auto"/>
          </w:tcPr>
          <w:p w14:paraId="799C7F34">
            <w:r>
              <w:rPr>
                <w:rFonts w:hint="eastAsia" w:cs="黑体" w:asciiTheme="minorEastAsia" w:hAnsiTheme="minorEastAsia"/>
                <w:u w:val="single"/>
              </w:rPr>
              <w:t>5.25.9 “平疫结合”区应设置独立的医疗垃圾和生活垃圾暂存区域。</w:t>
            </w:r>
          </w:p>
        </w:tc>
      </w:tr>
      <w:tr w14:paraId="21B2F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6D72C38">
            <w:pPr>
              <w:jc w:val="center"/>
              <w:rPr>
                <w:rFonts w:asciiTheme="minorEastAsia" w:hAnsiTheme="minorEastAsia"/>
                <w:u w:val="single"/>
              </w:rPr>
            </w:pPr>
          </w:p>
        </w:tc>
        <w:tc>
          <w:tcPr>
            <w:tcW w:w="4261" w:type="dxa"/>
            <w:shd w:val="clear" w:color="auto" w:fill="auto"/>
          </w:tcPr>
          <w:p w14:paraId="07C813F9">
            <w:pPr>
              <w:jc w:val="center"/>
              <w:rPr>
                <w:rFonts w:asciiTheme="minorEastAsia" w:hAnsiTheme="minorEastAsia"/>
                <w:u w:val="single"/>
              </w:rPr>
            </w:pPr>
            <w:bookmarkStart w:id="28" w:name="_Toc85880746"/>
            <w:r>
              <w:rPr>
                <w:rFonts w:hint="eastAsia" w:asciiTheme="minorEastAsia" w:hAnsiTheme="minorEastAsia"/>
                <w:u w:val="single"/>
              </w:rPr>
              <w:t>5.26 其它后勤保障用房</w:t>
            </w:r>
            <w:bookmarkEnd w:id="28"/>
          </w:p>
        </w:tc>
      </w:tr>
      <w:tr w14:paraId="1B27A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shd w:val="clear" w:color="auto" w:fill="auto"/>
          </w:tcPr>
          <w:p w14:paraId="68C8FA89"/>
        </w:tc>
        <w:tc>
          <w:tcPr>
            <w:tcW w:w="4261" w:type="dxa"/>
            <w:shd w:val="clear" w:color="auto" w:fill="auto"/>
          </w:tcPr>
          <w:p w14:paraId="01404F1D">
            <w:r>
              <w:rPr>
                <w:rFonts w:hint="eastAsia" w:cs="黑体" w:asciiTheme="minorEastAsia" w:hAnsiTheme="minorEastAsia"/>
                <w:u w:val="single"/>
              </w:rPr>
              <w:t>5.26.1 医院可根据物资使用、运输规模要求，结合建筑布局特点，合理选择物流系统，并设置相应的站房、站点。</w:t>
            </w:r>
          </w:p>
        </w:tc>
      </w:tr>
      <w:tr w14:paraId="21668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shd w:val="clear" w:color="auto" w:fill="auto"/>
          </w:tcPr>
          <w:p w14:paraId="2EAA4BB1"/>
        </w:tc>
        <w:tc>
          <w:tcPr>
            <w:tcW w:w="4261" w:type="dxa"/>
            <w:shd w:val="clear" w:color="auto" w:fill="auto"/>
          </w:tcPr>
          <w:p w14:paraId="56269672">
            <w:r>
              <w:rPr>
                <w:rFonts w:hint="eastAsia" w:cs="黑体" w:asciiTheme="minorEastAsia" w:hAnsiTheme="minorEastAsia"/>
                <w:u w:val="single"/>
              </w:rPr>
              <w:t>5.26.2 医院应根据</w:t>
            </w:r>
            <w:r>
              <w:rPr>
                <w:rFonts w:hint="eastAsia" w:cs="宋体" w:asciiTheme="minorEastAsia" w:hAnsiTheme="minorEastAsia"/>
                <w:u w:val="single"/>
                <w:lang w:val="zh-TW" w:eastAsia="zh-TW"/>
              </w:rPr>
              <w:t>建设规模、医疗业务和医院管理需要，配置与其相适应</w:t>
            </w:r>
            <w:r>
              <w:rPr>
                <w:rFonts w:hint="eastAsia" w:cs="黑体" w:asciiTheme="minorEastAsia" w:hAnsiTheme="minorEastAsia"/>
                <w:u w:val="single"/>
              </w:rPr>
              <w:t>的信息中心、灾备机房</w:t>
            </w:r>
            <w:r>
              <w:rPr>
                <w:rFonts w:hint="eastAsia" w:asciiTheme="minorEastAsia" w:hAnsiTheme="minorEastAsia"/>
                <w:u w:val="single"/>
              </w:rPr>
              <w:t>、通讯接入机房</w:t>
            </w:r>
            <w:r>
              <w:rPr>
                <w:rFonts w:hint="eastAsia" w:cs="黑体" w:asciiTheme="minorEastAsia" w:hAnsiTheme="minorEastAsia"/>
                <w:u w:val="single"/>
              </w:rPr>
              <w:t>等用房。</w:t>
            </w:r>
          </w:p>
        </w:tc>
      </w:tr>
      <w:tr w14:paraId="5E503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BAD0C3B"/>
        </w:tc>
        <w:tc>
          <w:tcPr>
            <w:tcW w:w="4261" w:type="dxa"/>
            <w:shd w:val="clear" w:color="auto" w:fill="auto"/>
          </w:tcPr>
          <w:p w14:paraId="18BB2391">
            <w:r>
              <w:rPr>
                <w:rFonts w:hint="eastAsia" w:cs="黑体" w:asciiTheme="minorEastAsia" w:hAnsiTheme="minorEastAsia"/>
                <w:u w:val="single"/>
              </w:rPr>
              <w:t>5.26.3 医院可根据使用需求，设置能源监测与机电管控中心、物资配送中心、后勤一站式服务中心、外协后勤单位办公区以及后勤仓储、维修、运维、保安、保洁、陪护、义工等用房。</w:t>
            </w:r>
          </w:p>
        </w:tc>
      </w:tr>
      <w:tr w14:paraId="1201D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937973C">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6.给水排水、消防和污水处理</w:t>
            </w:r>
          </w:p>
        </w:tc>
        <w:tc>
          <w:tcPr>
            <w:tcW w:w="4261" w:type="dxa"/>
          </w:tcPr>
          <w:p w14:paraId="64B1BF39">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6.给水排水、消防和污水处理</w:t>
            </w:r>
          </w:p>
        </w:tc>
      </w:tr>
      <w:tr w14:paraId="1F006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B11835B">
            <w:pPr>
              <w:jc w:val="center"/>
              <w:rPr>
                <w:rFonts w:asciiTheme="minorEastAsia" w:hAnsiTheme="minorEastAsia"/>
              </w:rPr>
            </w:pPr>
            <w:bookmarkStart w:id="29" w:name="_Toc85880748"/>
            <w:r>
              <w:rPr>
                <w:rFonts w:asciiTheme="minorEastAsia" w:hAnsiTheme="minorEastAsia"/>
              </w:rPr>
              <w:t>6</w:t>
            </w:r>
            <w:r>
              <w:rPr>
                <w:rFonts w:hint="eastAsia" w:asciiTheme="minorEastAsia" w:hAnsiTheme="minorEastAsia"/>
              </w:rPr>
              <w:t>.</w:t>
            </w:r>
            <w:r>
              <w:rPr>
                <w:rFonts w:asciiTheme="minorEastAsia" w:hAnsiTheme="minorEastAsia"/>
              </w:rPr>
              <w:t>1 一般规定</w:t>
            </w:r>
            <w:bookmarkEnd w:id="29"/>
          </w:p>
        </w:tc>
        <w:tc>
          <w:tcPr>
            <w:tcW w:w="4261" w:type="dxa"/>
          </w:tcPr>
          <w:p w14:paraId="19E91CBE">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1 一般规定</w:t>
            </w:r>
          </w:p>
        </w:tc>
      </w:tr>
      <w:tr w14:paraId="1E330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C97A96D"/>
        </w:tc>
        <w:tc>
          <w:tcPr>
            <w:tcW w:w="4261" w:type="dxa"/>
          </w:tcPr>
          <w:p w14:paraId="114BB0EA">
            <w:pPr>
              <w:rPr>
                <w:rFonts w:ascii="宋体" w:hAnsi="宋体" w:eastAsia="宋体" w:cs="宋体"/>
                <w:kern w:val="0"/>
              </w:rPr>
            </w:pPr>
            <w:r>
              <w:rPr>
                <w:rFonts w:hint="eastAsia" w:ascii="宋体" w:hAnsi="宋体" w:eastAsia="宋体" w:cs="宋体"/>
                <w:kern w:val="0"/>
                <w:u w:val="single"/>
              </w:rPr>
              <w:t>6.1.1A 医院给水和热水系统设计应满足节水的要求，并应符合下列规定：</w:t>
            </w:r>
          </w:p>
          <w:p w14:paraId="1FCEAD4B">
            <w:pPr>
              <w:ind w:firstLine="480"/>
              <w:rPr>
                <w:rFonts w:ascii="宋体" w:hAnsi="宋体" w:eastAsia="宋体" w:cs="宋体"/>
                <w:kern w:val="0"/>
                <w:u w:val="single"/>
              </w:rPr>
            </w:pPr>
            <w:r>
              <w:rPr>
                <w:rFonts w:hint="eastAsia" w:ascii="宋体" w:hAnsi="宋体" w:eastAsia="宋体" w:cs="宋体"/>
                <w:kern w:val="0"/>
                <w:u w:val="single"/>
              </w:rPr>
              <w:t>1 应采取三级计量措施，如冷却塔补水、锅炉用水、纯水制备、医技、厨房等重点用水大户应设置三级计量；</w:t>
            </w:r>
          </w:p>
          <w:p w14:paraId="56DAD722">
            <w:pPr>
              <w:ind w:firstLine="480"/>
              <w:rPr>
                <w:rFonts w:ascii="宋体" w:hAnsi="宋体" w:eastAsia="宋体" w:cs="宋体"/>
                <w:kern w:val="0"/>
                <w:u w:val="single"/>
              </w:rPr>
            </w:pPr>
            <w:r>
              <w:rPr>
                <w:rFonts w:hint="eastAsia" w:ascii="宋体" w:hAnsi="宋体" w:eastAsia="宋体" w:cs="宋体"/>
                <w:kern w:val="0"/>
                <w:u w:val="single"/>
              </w:rPr>
              <w:t>2 卫生器具应采用节水器具，但大便器的冲洗水量应满足排泄物输送排放的要求；</w:t>
            </w:r>
          </w:p>
          <w:p w14:paraId="247C18BB">
            <w:pPr>
              <w:ind w:firstLine="480"/>
              <w:rPr>
                <w:rFonts w:ascii="宋体" w:hAnsi="宋体" w:eastAsia="宋体" w:cs="宋体"/>
                <w:kern w:val="0"/>
                <w:u w:val="single"/>
              </w:rPr>
            </w:pPr>
            <w:r>
              <w:rPr>
                <w:rFonts w:hint="eastAsia" w:ascii="宋体" w:hAnsi="宋体" w:eastAsia="宋体" w:cs="宋体"/>
                <w:kern w:val="0"/>
                <w:u w:val="single"/>
              </w:rPr>
              <w:t>3 应采取系统节水措施；</w:t>
            </w:r>
          </w:p>
          <w:p w14:paraId="47CD8E8E">
            <w:pPr>
              <w:ind w:firstLine="480"/>
              <w:rPr>
                <w:rFonts w:ascii="宋体" w:hAnsi="宋体" w:eastAsia="宋体" w:cs="宋体"/>
                <w:kern w:val="0"/>
                <w:u w:val="single"/>
              </w:rPr>
            </w:pPr>
            <w:r>
              <w:rPr>
                <w:rFonts w:hint="eastAsia" w:ascii="宋体" w:hAnsi="宋体" w:eastAsia="宋体" w:cs="宋体"/>
                <w:kern w:val="0"/>
                <w:u w:val="single"/>
              </w:rPr>
              <w:t>4</w:t>
            </w:r>
            <w:r>
              <w:rPr>
                <w:rFonts w:ascii="宋体" w:hAnsi="宋体" w:eastAsia="宋体" w:cs="宋体"/>
                <w:kern w:val="0"/>
                <w:u w:val="single"/>
              </w:rPr>
              <w:t xml:space="preserve"> </w:t>
            </w:r>
            <w:r>
              <w:rPr>
                <w:rFonts w:hint="eastAsia" w:ascii="宋体" w:hAnsi="宋体" w:eastAsia="宋体" w:cs="宋体"/>
                <w:kern w:val="0"/>
                <w:u w:val="single"/>
              </w:rPr>
              <w:t>应采取循环循序节水措施，空调冷却循环水系统的冷却浓缩倍数应根据当地补充水水质确定，但不宜小于3；医疗康复训练用水应采用循环水系统；</w:t>
            </w:r>
          </w:p>
          <w:p w14:paraId="33E2C882">
            <w:pPr>
              <w:ind w:firstLine="480"/>
            </w:pPr>
            <w:r>
              <w:rPr>
                <w:rFonts w:hint="eastAsia" w:ascii="宋体" w:hAnsi="宋体" w:eastAsia="宋体" w:cs="宋体"/>
                <w:kern w:val="0"/>
                <w:u w:val="single"/>
              </w:rPr>
              <w:t>5 纯水和优质饮用水制备浓水不应大于30%。</w:t>
            </w:r>
          </w:p>
        </w:tc>
      </w:tr>
      <w:tr w14:paraId="381BA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64B5987"/>
        </w:tc>
        <w:tc>
          <w:tcPr>
            <w:tcW w:w="4261" w:type="dxa"/>
          </w:tcPr>
          <w:p w14:paraId="33B666F6">
            <w:pPr>
              <w:rPr>
                <w:rFonts w:ascii="宋体" w:hAnsi="宋体" w:eastAsia="宋体" w:cs="宋体"/>
                <w:kern w:val="0"/>
                <w:u w:val="single"/>
              </w:rPr>
            </w:pPr>
            <w:r>
              <w:rPr>
                <w:rFonts w:hint="eastAsia" w:ascii="宋体" w:hAnsi="宋体" w:eastAsia="宋体" w:cs="宋体"/>
                <w:kern w:val="0"/>
                <w:u w:val="single"/>
              </w:rPr>
              <w:t>6.1.1B 当综合医院设有“平疫结合”功能区域时，建筑的给水排水系统应根据现行国家标准《建筑与工业给水排水系统安全评价标准》GB/T51188进行安全评价，评价结果应符合下列规定：</w:t>
            </w:r>
          </w:p>
          <w:p w14:paraId="7798B9D0">
            <w:pPr>
              <w:ind w:firstLine="480" w:firstLineChars="200"/>
              <w:rPr>
                <w:rFonts w:ascii="宋体" w:hAnsi="宋体" w:eastAsia="宋体" w:cs="宋体"/>
                <w:kern w:val="0"/>
                <w:u w:val="single"/>
              </w:rPr>
            </w:pPr>
            <w:r>
              <w:rPr>
                <w:rFonts w:hint="eastAsia" w:ascii="宋体" w:hAnsi="宋体" w:eastAsia="宋体" w:cs="宋体"/>
                <w:kern w:val="0"/>
                <w:u w:val="single"/>
              </w:rPr>
              <w:t>1 大型综合医院的安全评价结果应达到安全级别；</w:t>
            </w:r>
          </w:p>
          <w:p w14:paraId="391D6796">
            <w:pPr>
              <w:ind w:firstLine="480" w:firstLineChars="200"/>
            </w:pPr>
            <w:r>
              <w:rPr>
                <w:rFonts w:hint="eastAsia" w:ascii="宋体" w:hAnsi="宋体" w:eastAsia="宋体" w:cs="宋体"/>
                <w:kern w:val="0"/>
                <w:u w:val="single"/>
              </w:rPr>
              <w:t>2 中小型医院当平疫结合用床位数小于50张床时，安全评价结果应达到较安全级别。</w:t>
            </w:r>
          </w:p>
        </w:tc>
      </w:tr>
      <w:tr w14:paraId="4F845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79F9E8F"/>
        </w:tc>
        <w:tc>
          <w:tcPr>
            <w:tcW w:w="4261" w:type="dxa"/>
          </w:tcPr>
          <w:p w14:paraId="619295A9">
            <w:r>
              <w:rPr>
                <w:rFonts w:hint="eastAsia" w:ascii="宋体" w:hAnsi="宋体" w:eastAsia="宋体" w:cs="宋体"/>
                <w:kern w:val="0"/>
                <w:u w:val="single"/>
              </w:rPr>
              <w:t>6.1.1C 平疫结合区域的给水、排水等系统宜独立设置，以满足独立运行大要求，当独立设置不能满足经济合理性要求时，平疫结合区域的给水与系统连接处，应采取安全措施，并应满足系统平疫结合区域的安全可靠的运行。</w:t>
            </w:r>
          </w:p>
        </w:tc>
      </w:tr>
      <w:tr w14:paraId="4A4D7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371F1AF"/>
        </w:tc>
        <w:tc>
          <w:tcPr>
            <w:tcW w:w="4261" w:type="dxa"/>
          </w:tcPr>
          <w:p w14:paraId="65518F41">
            <w:pPr>
              <w:rPr>
                <w:rFonts w:ascii="宋体" w:hAnsi="宋体" w:eastAsia="宋体" w:cs="宋体"/>
                <w:kern w:val="0"/>
                <w:u w:val="single"/>
              </w:rPr>
            </w:pPr>
            <w:r>
              <w:rPr>
                <w:rFonts w:hint="eastAsia" w:ascii="宋体" w:hAnsi="宋体" w:eastAsia="宋体" w:cs="宋体"/>
                <w:kern w:val="0"/>
                <w:u w:val="single"/>
              </w:rPr>
              <w:t>6.1.1D 当综合医院设有“平疫结合”功能区域时，给水排水管道穿越平疫结合分区的楼板、墙处应采取密封措施，防止不同空间的空气相互渗透，联通不同生物安全等级的墙上的开孔应采用强化密封措施，并应符合下列规定：</w:t>
            </w:r>
          </w:p>
          <w:p w14:paraId="04F191CD">
            <w:pPr>
              <w:ind w:firstLine="480" w:firstLineChars="200"/>
              <w:rPr>
                <w:rFonts w:ascii="宋体" w:hAnsi="宋体" w:eastAsia="宋体" w:cs="宋体"/>
                <w:kern w:val="0"/>
                <w:u w:val="single"/>
              </w:rPr>
            </w:pPr>
            <w:r>
              <w:rPr>
                <w:rFonts w:hint="eastAsia" w:ascii="宋体" w:hAnsi="宋体" w:eastAsia="宋体" w:cs="宋体"/>
                <w:kern w:val="0"/>
                <w:u w:val="single"/>
              </w:rPr>
              <w:t>1</w:t>
            </w:r>
            <w:r>
              <w:rPr>
                <w:rFonts w:ascii="宋体" w:hAnsi="宋体" w:eastAsia="宋体" w:cs="宋体"/>
                <w:kern w:val="0"/>
                <w:u w:val="single"/>
              </w:rPr>
              <w:t xml:space="preserve"> </w:t>
            </w:r>
            <w:r>
              <w:rPr>
                <w:rFonts w:hint="eastAsia" w:ascii="宋体" w:hAnsi="宋体" w:eastAsia="宋体" w:cs="宋体"/>
                <w:kern w:val="0"/>
                <w:u w:val="single"/>
              </w:rPr>
              <w:t>应在穿越楼板和墙处设置套管，套管与楼板、墙应预埋或预制，实现密封；</w:t>
            </w:r>
          </w:p>
          <w:p w14:paraId="42730924">
            <w:pPr>
              <w:ind w:firstLine="480" w:firstLineChars="200"/>
              <w:rPr>
                <w:rFonts w:ascii="宋体" w:hAnsi="宋体" w:eastAsia="宋体" w:cs="宋体"/>
                <w:kern w:val="0"/>
                <w:u w:val="single"/>
              </w:rPr>
            </w:pPr>
            <w:r>
              <w:rPr>
                <w:rFonts w:hint="eastAsia" w:ascii="宋体" w:hAnsi="宋体" w:eastAsia="宋体" w:cs="宋体"/>
                <w:kern w:val="0"/>
                <w:u w:val="single"/>
              </w:rPr>
              <w:t>2</w:t>
            </w:r>
            <w:r>
              <w:rPr>
                <w:rFonts w:ascii="宋体" w:hAnsi="宋体" w:eastAsia="宋体" w:cs="宋体"/>
                <w:kern w:val="0"/>
                <w:u w:val="single"/>
              </w:rPr>
              <w:t xml:space="preserve"> </w:t>
            </w:r>
            <w:r>
              <w:rPr>
                <w:rFonts w:hint="eastAsia" w:ascii="宋体" w:hAnsi="宋体" w:eastAsia="宋体" w:cs="宋体"/>
                <w:kern w:val="0"/>
                <w:u w:val="single"/>
              </w:rPr>
              <w:t>管道与套管之间的缝隙应采用柔性材料填充密实；</w:t>
            </w:r>
          </w:p>
          <w:p w14:paraId="52326F3C">
            <w:pPr>
              <w:ind w:firstLine="480" w:firstLineChars="200"/>
              <w:rPr>
                <w:rFonts w:ascii="宋体" w:hAnsi="宋体" w:eastAsia="宋体" w:cs="宋体"/>
                <w:kern w:val="0"/>
                <w:u w:val="single"/>
              </w:rPr>
            </w:pPr>
            <w:r>
              <w:rPr>
                <w:rFonts w:hint="eastAsia" w:ascii="宋体" w:hAnsi="宋体" w:eastAsia="宋体" w:cs="宋体"/>
                <w:kern w:val="0"/>
                <w:u w:val="single"/>
              </w:rPr>
              <w:t>3</w:t>
            </w:r>
            <w:r>
              <w:rPr>
                <w:rFonts w:ascii="宋体" w:hAnsi="宋体" w:eastAsia="宋体" w:cs="宋体"/>
                <w:kern w:val="0"/>
                <w:u w:val="single"/>
              </w:rPr>
              <w:t xml:space="preserve"> </w:t>
            </w:r>
            <w:r>
              <w:rPr>
                <w:rFonts w:hint="eastAsia" w:ascii="宋体" w:hAnsi="宋体" w:eastAsia="宋体" w:cs="宋体"/>
                <w:kern w:val="0"/>
                <w:u w:val="single"/>
              </w:rPr>
              <w:t>套管的两侧应设置扣板，应用工程胶密实；</w:t>
            </w:r>
          </w:p>
          <w:p w14:paraId="73E243BC">
            <w:pPr>
              <w:ind w:firstLine="480" w:firstLineChars="200"/>
            </w:pPr>
            <w:r>
              <w:rPr>
                <w:rFonts w:hint="eastAsia" w:ascii="宋体" w:hAnsi="宋体" w:eastAsia="宋体" w:cs="宋体"/>
                <w:kern w:val="0"/>
                <w:u w:val="single"/>
              </w:rPr>
              <w:t>4 管道穿越楼板和防火墙处应满足楼板或防火墙耐火极限的要求。</w:t>
            </w:r>
          </w:p>
        </w:tc>
      </w:tr>
      <w:tr w14:paraId="43C0F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8A3EF4E"/>
        </w:tc>
        <w:tc>
          <w:tcPr>
            <w:tcW w:w="4261" w:type="dxa"/>
          </w:tcPr>
          <w:p w14:paraId="64203C94">
            <w:r>
              <w:rPr>
                <w:rFonts w:hint="eastAsia" w:ascii="宋体" w:hAnsi="宋体" w:eastAsia="宋体" w:cs="宋体"/>
                <w:kern w:val="0"/>
                <w:u w:val="single"/>
              </w:rPr>
              <w:t>6.1.1E 给水排水设备、器材应采用安全可靠的产品，以减少维修的风险。</w:t>
            </w:r>
          </w:p>
        </w:tc>
      </w:tr>
      <w:tr w14:paraId="150F8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5BF4FFC4"/>
        </w:tc>
        <w:tc>
          <w:tcPr>
            <w:tcW w:w="4261" w:type="dxa"/>
          </w:tcPr>
          <w:p w14:paraId="6104ED46">
            <w:r>
              <w:rPr>
                <w:rFonts w:hint="eastAsia" w:ascii="宋体" w:hAnsi="宋体" w:eastAsia="宋体" w:cs="宋体"/>
                <w:kern w:val="0"/>
                <w:u w:val="single"/>
              </w:rPr>
              <w:t>6.1.1F</w:t>
            </w:r>
            <w:r>
              <w:rPr>
                <w:rFonts w:ascii="宋体" w:hAnsi="宋体" w:eastAsia="宋体" w:cs="宋体"/>
                <w:kern w:val="0"/>
                <w:u w:val="single"/>
              </w:rPr>
              <w:t xml:space="preserve"> </w:t>
            </w:r>
            <w:r>
              <w:rPr>
                <w:rFonts w:hint="eastAsia" w:ascii="宋体" w:hAnsi="宋体" w:eastAsia="宋体" w:cs="宋体"/>
                <w:kern w:val="0"/>
                <w:u w:val="single"/>
              </w:rPr>
              <w:t>当综合医院设有“平疫结合”功能区域时，生活给水泵房和集中生活热水机房应兼顾平疫的生物安全要求，在疫情期间，该区域应划为清洁区，当确有困难时经安全分析，并采取相应的措施后可设置在半清洁区。</w:t>
            </w:r>
          </w:p>
        </w:tc>
      </w:tr>
      <w:tr w14:paraId="42711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F91935E"/>
        </w:tc>
        <w:tc>
          <w:tcPr>
            <w:tcW w:w="4261" w:type="dxa"/>
          </w:tcPr>
          <w:p w14:paraId="5ECF2E73">
            <w:pPr>
              <w:rPr>
                <w:rFonts w:ascii="宋体" w:hAnsi="宋体" w:eastAsia="宋体" w:cs="宋体"/>
                <w:kern w:val="0"/>
                <w:u w:val="single"/>
              </w:rPr>
            </w:pPr>
            <w:r>
              <w:rPr>
                <w:rFonts w:hint="eastAsia" w:ascii="宋体" w:hAnsi="宋体" w:eastAsia="宋体" w:cs="宋体"/>
                <w:kern w:val="0"/>
                <w:u w:val="single"/>
              </w:rPr>
              <w:t>6.1.1G “平疫结合”区域及建筑的给水、热水系统，应采取防污染回流措施，并应符合下列规定：</w:t>
            </w:r>
          </w:p>
          <w:p w14:paraId="4D35DF8C">
            <w:pPr>
              <w:ind w:firstLine="420"/>
              <w:rPr>
                <w:rFonts w:ascii="宋体" w:hAnsi="宋体" w:eastAsia="宋体" w:cs="宋体"/>
                <w:kern w:val="0"/>
                <w:u w:val="single"/>
              </w:rPr>
            </w:pPr>
            <w:r>
              <w:rPr>
                <w:rFonts w:hint="eastAsia" w:ascii="宋体" w:hAnsi="宋体" w:eastAsia="宋体" w:cs="宋体"/>
                <w:kern w:val="0"/>
                <w:u w:val="single"/>
              </w:rPr>
              <w:t>1 清洁区与半污染区和污染区的给水宜各自独立，当无法独立时，向半污染区和污染区供水的给水道上应设置减压型倒流防止器；</w:t>
            </w:r>
          </w:p>
          <w:p w14:paraId="26CDDBAC">
            <w:pPr>
              <w:ind w:firstLine="420"/>
            </w:pPr>
            <w:r>
              <w:rPr>
                <w:rFonts w:hint="eastAsia" w:ascii="宋体" w:hAnsi="宋体" w:eastAsia="宋体" w:cs="宋体"/>
                <w:kern w:val="0"/>
                <w:u w:val="single"/>
              </w:rPr>
              <w:t>2 倒流防止器应设置在清洁区。</w:t>
            </w:r>
          </w:p>
        </w:tc>
      </w:tr>
      <w:tr w14:paraId="17570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D2FBA0"/>
        </w:tc>
        <w:tc>
          <w:tcPr>
            <w:tcW w:w="4261" w:type="dxa"/>
          </w:tcPr>
          <w:p w14:paraId="440BE4D8">
            <w:r>
              <w:rPr>
                <w:rFonts w:hint="eastAsia" w:ascii="宋体" w:hAnsi="宋体" w:eastAsia="宋体" w:cs="宋体"/>
                <w:kern w:val="0"/>
                <w:u w:val="single"/>
              </w:rPr>
              <w:t>6.1.3 医院建筑给水排水及消防设备应采用基于大数据物联网、智慧、低碳绿色的成套设备，系统节能幅度不宜低于15%且不应低于10%。</w:t>
            </w:r>
          </w:p>
        </w:tc>
      </w:tr>
      <w:tr w14:paraId="1D21E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029F3C4">
            <w:pPr>
              <w:jc w:val="center"/>
              <w:rPr>
                <w:rFonts w:asciiTheme="minorEastAsia" w:hAnsiTheme="minorEastAsia"/>
              </w:rPr>
            </w:pPr>
            <w:bookmarkStart w:id="30" w:name="_Toc85880749"/>
            <w:r>
              <w:rPr>
                <w:rFonts w:asciiTheme="minorEastAsia" w:hAnsiTheme="minorEastAsia"/>
              </w:rPr>
              <w:t>6</w:t>
            </w:r>
            <w:r>
              <w:rPr>
                <w:rFonts w:hint="eastAsia" w:asciiTheme="minorEastAsia" w:hAnsiTheme="minorEastAsia"/>
              </w:rPr>
              <w:t>.</w:t>
            </w:r>
            <w:r>
              <w:rPr>
                <w:rFonts w:asciiTheme="minorEastAsia" w:hAnsiTheme="minorEastAsia"/>
              </w:rPr>
              <w:t>2 给</w:t>
            </w:r>
            <w:r>
              <w:rPr>
                <w:rFonts w:hint="eastAsia" w:asciiTheme="minorEastAsia" w:hAnsiTheme="minorEastAsia"/>
              </w:rPr>
              <w:t xml:space="preserve"> </w:t>
            </w:r>
            <w:r>
              <w:rPr>
                <w:rFonts w:asciiTheme="minorEastAsia" w:hAnsiTheme="minorEastAsia"/>
              </w:rPr>
              <w:t>水</w:t>
            </w:r>
            <w:bookmarkEnd w:id="30"/>
          </w:p>
        </w:tc>
        <w:tc>
          <w:tcPr>
            <w:tcW w:w="4261" w:type="dxa"/>
          </w:tcPr>
          <w:p w14:paraId="647950E9">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2 给</w:t>
            </w:r>
            <w:r>
              <w:rPr>
                <w:rFonts w:hint="eastAsia" w:asciiTheme="minorEastAsia" w:hAnsiTheme="minorEastAsia"/>
              </w:rPr>
              <w:t xml:space="preserve"> </w:t>
            </w:r>
            <w:r>
              <w:rPr>
                <w:rFonts w:asciiTheme="minorEastAsia" w:hAnsiTheme="minorEastAsia"/>
              </w:rPr>
              <w:t>水</w:t>
            </w:r>
          </w:p>
        </w:tc>
      </w:tr>
      <w:tr w14:paraId="04888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8F515AC"/>
        </w:tc>
        <w:tc>
          <w:tcPr>
            <w:tcW w:w="4261" w:type="dxa"/>
          </w:tcPr>
          <w:p w14:paraId="2D4D2B72">
            <w:r>
              <w:rPr>
                <w:rFonts w:hint="eastAsia" w:ascii="宋体" w:hAnsi="宋体" w:eastAsia="宋体" w:cs="宋体"/>
                <w:kern w:val="0"/>
                <w:u w:val="single"/>
              </w:rPr>
              <w:t>6.2.1A 当淋浴、洗涤等对患者能产生免疫功能降低或感染伤口时，根据医疗工艺要求，应对生活给水进行水处理时，应采用合理的处理工艺，以满足医疗工艺要求。</w:t>
            </w:r>
          </w:p>
        </w:tc>
      </w:tr>
      <w:tr w14:paraId="3F0DE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45355F9"/>
        </w:tc>
        <w:tc>
          <w:tcPr>
            <w:tcW w:w="4261" w:type="dxa"/>
          </w:tcPr>
          <w:p w14:paraId="0C15DF04">
            <w:pPr>
              <w:rPr>
                <w:rFonts w:ascii="宋体" w:hAnsi="宋体" w:eastAsia="宋体" w:cs="宋体"/>
                <w:kern w:val="0"/>
                <w:u w:val="single"/>
              </w:rPr>
            </w:pPr>
            <w:r>
              <w:rPr>
                <w:rFonts w:hint="eastAsia" w:ascii="宋体" w:hAnsi="宋体" w:eastAsia="宋体" w:cs="宋体"/>
                <w:kern w:val="0"/>
                <w:u w:val="single"/>
              </w:rPr>
              <w:t>6.2.1B 医院应急水源应根据城市医疗卫生规划和城市综合防灾减灾规划的要求，满足城市应急医疗需求，并应符合下列要求：</w:t>
            </w:r>
          </w:p>
          <w:p w14:paraId="3E1960B7">
            <w:pPr>
              <w:ind w:firstLine="480" w:firstLineChars="200"/>
              <w:rPr>
                <w:rFonts w:ascii="宋体" w:hAnsi="宋体" w:eastAsia="宋体" w:cs="宋体"/>
                <w:kern w:val="0"/>
                <w:u w:val="single"/>
              </w:rPr>
            </w:pPr>
            <w:r>
              <w:rPr>
                <w:rFonts w:hint="eastAsia" w:ascii="宋体" w:hAnsi="宋体" w:eastAsia="宋体" w:cs="宋体"/>
                <w:kern w:val="0"/>
                <w:u w:val="single"/>
              </w:rPr>
              <w:t>1 医院应急水源应能在当地地震和洪涝设计水平下的正常供水；</w:t>
            </w:r>
          </w:p>
          <w:p w14:paraId="6EA01229">
            <w:pPr>
              <w:ind w:firstLine="480" w:firstLineChars="200"/>
              <w:rPr>
                <w:rFonts w:ascii="宋体" w:hAnsi="宋体" w:eastAsia="宋体" w:cs="宋体"/>
                <w:kern w:val="0"/>
                <w:u w:val="single"/>
              </w:rPr>
            </w:pPr>
            <w:r>
              <w:rPr>
                <w:rFonts w:hint="eastAsia" w:ascii="宋体" w:hAnsi="宋体" w:eastAsia="宋体" w:cs="宋体"/>
                <w:kern w:val="0"/>
                <w:u w:val="single"/>
              </w:rPr>
              <w:t>2 给水排水泵站和设备机房等应满足当地地震和洪涝设计水平下的正常运行，超设计重现期时，采取措施后应仍能正常工作；</w:t>
            </w:r>
          </w:p>
          <w:p w14:paraId="0DE5AC41">
            <w:pPr>
              <w:ind w:firstLine="480" w:firstLineChars="200"/>
            </w:pPr>
            <w:r>
              <w:rPr>
                <w:rFonts w:hint="eastAsia" w:ascii="宋体" w:hAnsi="宋体" w:eastAsia="宋体" w:cs="宋体"/>
                <w:kern w:val="0"/>
                <w:u w:val="single"/>
              </w:rPr>
              <w:t>3 应急给水和排水应根据灾害等级确定。</w:t>
            </w:r>
          </w:p>
        </w:tc>
      </w:tr>
      <w:tr w14:paraId="1F9E2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3A6A488"/>
        </w:tc>
        <w:tc>
          <w:tcPr>
            <w:tcW w:w="4261" w:type="dxa"/>
          </w:tcPr>
          <w:p w14:paraId="7B02B145">
            <w:pPr>
              <w:rPr>
                <w:rFonts w:ascii="宋体" w:hAnsi="宋体" w:eastAsia="宋体" w:cs="宋体"/>
                <w:kern w:val="0"/>
                <w:u w:val="single"/>
              </w:rPr>
            </w:pPr>
            <w:r>
              <w:rPr>
                <w:rFonts w:hint="eastAsia" w:ascii="宋体" w:hAnsi="宋体" w:eastAsia="宋体" w:cs="宋体"/>
                <w:kern w:val="0"/>
                <w:u w:val="single"/>
              </w:rPr>
              <w:t>6.2.1C 应急水源应采用灾害时仍能满足医院安全可靠用水的要求，可根据城市供水在灾害时安全可靠的供水具情况，选择地下井水和蓄水池供水等，当采用蓄水池水泵供水时，其蓄水池的有效容积应能满足医院日常用水的时间，应符合下列要求：</w:t>
            </w:r>
          </w:p>
          <w:p w14:paraId="3157A94A">
            <w:pPr>
              <w:ind w:firstLine="480" w:firstLineChars="200"/>
              <w:rPr>
                <w:rFonts w:ascii="宋体" w:hAnsi="宋体" w:eastAsia="宋体" w:cs="宋体"/>
                <w:kern w:val="0"/>
                <w:u w:val="single"/>
              </w:rPr>
            </w:pPr>
            <w:r>
              <w:rPr>
                <w:rFonts w:hint="eastAsia" w:ascii="宋体" w:hAnsi="宋体" w:eastAsia="宋体" w:cs="宋体"/>
                <w:kern w:val="0"/>
                <w:u w:val="single"/>
              </w:rPr>
              <w:t>1 城市供水低风险时，不宜小于3d的生活用水量；</w:t>
            </w:r>
          </w:p>
          <w:p w14:paraId="0B06543A">
            <w:pPr>
              <w:ind w:firstLine="480" w:firstLineChars="200"/>
              <w:rPr>
                <w:rFonts w:ascii="宋体" w:hAnsi="宋体" w:eastAsia="宋体" w:cs="宋体"/>
                <w:kern w:val="0"/>
                <w:u w:val="single"/>
              </w:rPr>
            </w:pPr>
            <w:r>
              <w:rPr>
                <w:rFonts w:hint="eastAsia" w:ascii="宋体" w:hAnsi="宋体" w:eastAsia="宋体" w:cs="宋体"/>
                <w:kern w:val="0"/>
                <w:u w:val="single"/>
              </w:rPr>
              <w:t>2 城市供水中风险时，不宜小于7d的生活用水量；</w:t>
            </w:r>
          </w:p>
          <w:p w14:paraId="0CD9EE78">
            <w:pPr>
              <w:ind w:firstLine="480" w:firstLineChars="200"/>
            </w:pPr>
            <w:r>
              <w:rPr>
                <w:rFonts w:hint="eastAsia" w:ascii="宋体" w:hAnsi="宋体" w:eastAsia="宋体" w:cs="宋体"/>
                <w:kern w:val="0"/>
                <w:u w:val="single"/>
              </w:rPr>
              <w:t>3 城市供水高风险时，不宜小于14d的生活用水量。</w:t>
            </w:r>
          </w:p>
        </w:tc>
      </w:tr>
      <w:tr w14:paraId="334A8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1CA2C29">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
                <w:bCs/>
                <w:kern w:val="0"/>
              </w:rPr>
              <w:t xml:space="preserve"> </w:t>
            </w:r>
            <w:r>
              <w:rPr>
                <w:rFonts w:ascii="宋体" w:hAnsi="宋体" w:eastAsia="宋体" w:cs="宋体"/>
                <w:kern w:val="0"/>
              </w:rPr>
              <w:t>医院生活用水量定额宜符合表6</w:t>
            </w:r>
            <w:r>
              <w:rPr>
                <w:rFonts w:hint="eastAsia" w:ascii="宋体" w:hAnsi="宋体" w:eastAsia="宋体" w:cs="宋体"/>
                <w:kern w:val="0"/>
              </w:rPr>
              <w:t>.</w:t>
            </w:r>
            <w:r>
              <w:rPr>
                <w:rFonts w:ascii="宋体" w:hAnsi="宋体" w:eastAsia="宋体" w:cs="宋体"/>
                <w:kern w:val="0"/>
              </w:rPr>
              <w:t>2</w:t>
            </w:r>
            <w:r>
              <w:rPr>
                <w:rFonts w:hint="eastAsia" w:ascii="宋体" w:hAnsi="宋体" w:eastAsia="宋体" w:cs="宋体"/>
                <w:kern w:val="0"/>
              </w:rPr>
              <w:t>.</w:t>
            </w:r>
            <w:r>
              <w:rPr>
                <w:rFonts w:ascii="宋体" w:hAnsi="宋体" w:eastAsia="宋体" w:cs="宋体"/>
                <w:kern w:val="0"/>
              </w:rPr>
              <w:t>2的规定。</w:t>
            </w:r>
          </w:p>
          <w:p w14:paraId="140CE65B">
            <w:pPr>
              <w:jc w:val="center"/>
              <w:rPr>
                <w:rFonts w:ascii="宋体" w:hAnsi="宋体" w:eastAsia="宋体"/>
                <w:b/>
                <w:bCs/>
                <w:sz w:val="18"/>
                <w:szCs w:val="22"/>
              </w:rPr>
            </w:pPr>
            <w:r>
              <w:rPr>
                <w:rFonts w:ascii="宋体" w:hAnsi="宋体" w:eastAsia="宋体"/>
                <w:b/>
                <w:bCs/>
                <w:sz w:val="18"/>
                <w:szCs w:val="22"/>
              </w:rPr>
              <w:t>表</w:t>
            </w:r>
            <w:r>
              <w:rPr>
                <w:rFonts w:hint="eastAsia" w:ascii="宋体" w:hAnsi="宋体" w:eastAsia="宋体"/>
                <w:b/>
                <w:bCs/>
                <w:sz w:val="18"/>
                <w:szCs w:val="22"/>
              </w:rPr>
              <w:t>6.2.2</w:t>
            </w:r>
            <w:r>
              <w:rPr>
                <w:rFonts w:ascii="宋体" w:hAnsi="宋体" w:eastAsia="宋体"/>
                <w:b/>
                <w:bCs/>
                <w:sz w:val="18"/>
                <w:szCs w:val="22"/>
              </w:rPr>
              <w:t xml:space="preserve"> 医院生活用水量定额</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5"/>
              <w:gridCol w:w="1137"/>
              <w:gridCol w:w="900"/>
              <w:gridCol w:w="720"/>
              <w:gridCol w:w="779"/>
            </w:tblGrid>
            <w:tr w14:paraId="7A70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Align w:val="center"/>
                </w:tcPr>
                <w:p w14:paraId="4DEDF325">
                  <w:pPr>
                    <w:spacing w:line="240" w:lineRule="auto"/>
                    <w:jc w:val="center"/>
                    <w:rPr>
                      <w:rFonts w:ascii="宋体" w:hAnsi="宋体" w:eastAsia="宋体"/>
                      <w:bCs/>
                      <w:sz w:val="18"/>
                      <w:szCs w:val="22"/>
                    </w:rPr>
                  </w:pPr>
                  <w:r>
                    <w:rPr>
                      <w:rFonts w:ascii="宋体" w:hAnsi="宋体" w:eastAsia="宋体"/>
                      <w:bCs/>
                      <w:sz w:val="18"/>
                      <w:szCs w:val="22"/>
                    </w:rPr>
                    <w:t>项目</w:t>
                  </w:r>
                </w:p>
              </w:tc>
              <w:tc>
                <w:tcPr>
                  <w:tcW w:w="1137" w:type="dxa"/>
                  <w:vAlign w:val="center"/>
                </w:tcPr>
                <w:p w14:paraId="3C95B439">
                  <w:pPr>
                    <w:spacing w:line="240" w:lineRule="auto"/>
                    <w:jc w:val="center"/>
                    <w:rPr>
                      <w:rFonts w:ascii="宋体" w:hAnsi="宋体" w:eastAsia="宋体"/>
                      <w:bCs/>
                      <w:sz w:val="18"/>
                      <w:szCs w:val="22"/>
                    </w:rPr>
                  </w:pPr>
                  <w:r>
                    <w:rPr>
                      <w:rFonts w:ascii="宋体" w:hAnsi="宋体" w:eastAsia="宋体"/>
                      <w:bCs/>
                      <w:sz w:val="18"/>
                      <w:szCs w:val="22"/>
                    </w:rPr>
                    <w:t>设施标准</w:t>
                  </w:r>
                </w:p>
              </w:tc>
              <w:tc>
                <w:tcPr>
                  <w:tcW w:w="900" w:type="dxa"/>
                  <w:vAlign w:val="center"/>
                </w:tcPr>
                <w:p w14:paraId="562FCA1E">
                  <w:pPr>
                    <w:spacing w:line="240" w:lineRule="auto"/>
                    <w:jc w:val="center"/>
                    <w:rPr>
                      <w:rFonts w:ascii="宋体" w:hAnsi="宋体" w:eastAsia="宋体"/>
                      <w:bCs/>
                      <w:sz w:val="18"/>
                      <w:szCs w:val="22"/>
                    </w:rPr>
                  </w:pPr>
                  <w:r>
                    <w:rPr>
                      <w:rFonts w:ascii="宋体" w:hAnsi="宋体" w:eastAsia="宋体"/>
                      <w:bCs/>
                      <w:sz w:val="18"/>
                      <w:szCs w:val="22"/>
                    </w:rPr>
                    <w:t>单位</w:t>
                  </w:r>
                </w:p>
              </w:tc>
              <w:tc>
                <w:tcPr>
                  <w:tcW w:w="720" w:type="dxa"/>
                  <w:vAlign w:val="center"/>
                </w:tcPr>
                <w:p w14:paraId="0269D1D2">
                  <w:pPr>
                    <w:spacing w:line="240" w:lineRule="auto"/>
                    <w:jc w:val="center"/>
                    <w:rPr>
                      <w:rFonts w:ascii="宋体" w:hAnsi="宋体" w:eastAsia="宋体"/>
                      <w:bCs/>
                      <w:sz w:val="18"/>
                      <w:szCs w:val="22"/>
                    </w:rPr>
                  </w:pPr>
                  <w:r>
                    <w:rPr>
                      <w:rFonts w:ascii="宋体" w:hAnsi="宋体" w:eastAsia="宋体"/>
                      <w:bCs/>
                      <w:sz w:val="18"/>
                      <w:szCs w:val="22"/>
                    </w:rPr>
                    <w:t>最高日用水量</w:t>
                  </w:r>
                </w:p>
              </w:tc>
              <w:tc>
                <w:tcPr>
                  <w:tcW w:w="779" w:type="dxa"/>
                  <w:vAlign w:val="center"/>
                </w:tcPr>
                <w:p w14:paraId="30A30E80">
                  <w:pPr>
                    <w:spacing w:line="240" w:lineRule="auto"/>
                    <w:jc w:val="center"/>
                    <w:rPr>
                      <w:rFonts w:ascii="宋体" w:hAnsi="宋体" w:eastAsia="宋体"/>
                      <w:bCs/>
                      <w:sz w:val="18"/>
                      <w:szCs w:val="22"/>
                    </w:rPr>
                  </w:pPr>
                  <w:r>
                    <w:rPr>
                      <w:rFonts w:ascii="宋体" w:hAnsi="宋体" w:eastAsia="宋体"/>
                      <w:bCs/>
                      <w:sz w:val="18"/>
                      <w:szCs w:val="22"/>
                    </w:rPr>
                    <w:t>小时变化系数</w:t>
                  </w:r>
                </w:p>
              </w:tc>
            </w:tr>
            <w:tr w14:paraId="423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restart"/>
                  <w:vAlign w:val="center"/>
                </w:tcPr>
                <w:p w14:paraId="39B91EBF">
                  <w:pPr>
                    <w:spacing w:line="240" w:lineRule="auto"/>
                    <w:jc w:val="center"/>
                    <w:rPr>
                      <w:rFonts w:ascii="宋体" w:hAnsi="宋体" w:eastAsia="宋体"/>
                      <w:bCs/>
                      <w:sz w:val="18"/>
                      <w:szCs w:val="22"/>
                    </w:rPr>
                  </w:pPr>
                  <w:r>
                    <w:rPr>
                      <w:rFonts w:ascii="宋体" w:hAnsi="宋体" w:eastAsia="宋体"/>
                      <w:bCs/>
                      <w:sz w:val="18"/>
                      <w:szCs w:val="22"/>
                    </w:rPr>
                    <w:t>每</w:t>
                  </w:r>
                </w:p>
                <w:p w14:paraId="0DDD6406">
                  <w:pPr>
                    <w:spacing w:line="240" w:lineRule="auto"/>
                    <w:jc w:val="center"/>
                    <w:rPr>
                      <w:rFonts w:ascii="宋体" w:hAnsi="宋体" w:eastAsia="宋体"/>
                      <w:bCs/>
                      <w:sz w:val="18"/>
                      <w:szCs w:val="22"/>
                    </w:rPr>
                  </w:pPr>
                  <w:r>
                    <w:rPr>
                      <w:rFonts w:ascii="宋体" w:hAnsi="宋体" w:eastAsia="宋体"/>
                      <w:bCs/>
                      <w:sz w:val="18"/>
                      <w:szCs w:val="22"/>
                    </w:rPr>
                    <w:t>病</w:t>
                  </w:r>
                </w:p>
                <w:p w14:paraId="0152FD78">
                  <w:pPr>
                    <w:spacing w:line="240" w:lineRule="auto"/>
                    <w:jc w:val="center"/>
                    <w:rPr>
                      <w:rFonts w:ascii="宋体" w:hAnsi="宋体" w:eastAsia="宋体"/>
                      <w:bCs/>
                      <w:sz w:val="18"/>
                      <w:szCs w:val="22"/>
                    </w:rPr>
                  </w:pPr>
                  <w:r>
                    <w:rPr>
                      <w:rFonts w:ascii="宋体" w:hAnsi="宋体" w:eastAsia="宋体"/>
                      <w:bCs/>
                      <w:sz w:val="18"/>
                      <w:szCs w:val="22"/>
                    </w:rPr>
                    <w:t>床</w:t>
                  </w:r>
                </w:p>
              </w:tc>
              <w:tc>
                <w:tcPr>
                  <w:tcW w:w="1137" w:type="dxa"/>
                  <w:vAlign w:val="center"/>
                </w:tcPr>
                <w:p w14:paraId="67D29C6A">
                  <w:pPr>
                    <w:spacing w:line="240" w:lineRule="auto"/>
                    <w:jc w:val="center"/>
                    <w:rPr>
                      <w:rFonts w:ascii="宋体" w:hAnsi="宋体" w:eastAsia="宋体"/>
                      <w:bCs/>
                      <w:sz w:val="18"/>
                      <w:szCs w:val="22"/>
                    </w:rPr>
                  </w:pPr>
                  <w:r>
                    <w:rPr>
                      <w:rFonts w:ascii="宋体" w:hAnsi="宋体" w:eastAsia="宋体"/>
                      <w:bCs/>
                      <w:sz w:val="18"/>
                      <w:szCs w:val="22"/>
                    </w:rPr>
                    <w:t>公共卫生间、盥洗</w:t>
                  </w:r>
                </w:p>
              </w:tc>
              <w:tc>
                <w:tcPr>
                  <w:tcW w:w="900" w:type="dxa"/>
                  <w:vAlign w:val="center"/>
                </w:tcPr>
                <w:p w14:paraId="15C774B7">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1FD54622">
                  <w:pPr>
                    <w:spacing w:line="240" w:lineRule="auto"/>
                    <w:jc w:val="center"/>
                    <w:rPr>
                      <w:rFonts w:ascii="宋体" w:hAnsi="宋体" w:eastAsia="宋体"/>
                      <w:bCs/>
                      <w:sz w:val="18"/>
                      <w:szCs w:val="22"/>
                    </w:rPr>
                  </w:pPr>
                  <w:r>
                    <w:rPr>
                      <w:rFonts w:ascii="宋体" w:hAnsi="宋体" w:eastAsia="宋体"/>
                      <w:bCs/>
                      <w:sz w:val="18"/>
                      <w:szCs w:val="22"/>
                    </w:rPr>
                    <w:t>100</w:t>
                  </w:r>
                  <w:r>
                    <w:rPr>
                      <w:rFonts w:hint="eastAsia" w:ascii="宋体" w:hAnsi="宋体" w:eastAsia="宋体"/>
                      <w:bCs/>
                      <w:sz w:val="18"/>
                      <w:szCs w:val="22"/>
                    </w:rPr>
                    <w:t>～</w:t>
                  </w:r>
                  <w:r>
                    <w:rPr>
                      <w:rFonts w:ascii="宋体" w:hAnsi="宋体" w:eastAsia="宋体"/>
                      <w:bCs/>
                      <w:sz w:val="18"/>
                      <w:szCs w:val="22"/>
                    </w:rPr>
                    <w:t>200</w:t>
                  </w:r>
                </w:p>
              </w:tc>
              <w:tc>
                <w:tcPr>
                  <w:tcW w:w="779" w:type="dxa"/>
                  <w:vAlign w:val="center"/>
                </w:tcPr>
                <w:p w14:paraId="53F03BED">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234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71030D43">
                  <w:pPr>
                    <w:spacing w:line="240" w:lineRule="auto"/>
                    <w:jc w:val="center"/>
                    <w:rPr>
                      <w:rFonts w:ascii="宋体" w:hAnsi="宋体" w:eastAsia="宋体"/>
                      <w:bCs/>
                      <w:sz w:val="18"/>
                      <w:szCs w:val="22"/>
                    </w:rPr>
                  </w:pPr>
                </w:p>
              </w:tc>
              <w:tc>
                <w:tcPr>
                  <w:tcW w:w="1137" w:type="dxa"/>
                  <w:vAlign w:val="center"/>
                </w:tcPr>
                <w:p w14:paraId="1D20C26C">
                  <w:pPr>
                    <w:spacing w:line="240" w:lineRule="auto"/>
                    <w:jc w:val="center"/>
                    <w:rPr>
                      <w:rFonts w:ascii="宋体" w:hAnsi="宋体" w:eastAsia="宋体"/>
                      <w:bCs/>
                      <w:sz w:val="18"/>
                      <w:szCs w:val="22"/>
                    </w:rPr>
                  </w:pPr>
                  <w:r>
                    <w:rPr>
                      <w:rFonts w:ascii="宋体" w:hAnsi="宋体" w:eastAsia="宋体"/>
                      <w:bCs/>
                      <w:sz w:val="18"/>
                      <w:szCs w:val="22"/>
                    </w:rPr>
                    <w:t>公共浴室、卫生间、盥洗</w:t>
                  </w:r>
                </w:p>
              </w:tc>
              <w:tc>
                <w:tcPr>
                  <w:tcW w:w="900" w:type="dxa"/>
                  <w:vAlign w:val="center"/>
                </w:tcPr>
                <w:p w14:paraId="0CCF5F1C">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0A807FA7">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7EADF245">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1AD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59C72517">
                  <w:pPr>
                    <w:spacing w:line="240" w:lineRule="auto"/>
                    <w:jc w:val="center"/>
                    <w:rPr>
                      <w:rFonts w:ascii="宋体" w:hAnsi="宋体" w:eastAsia="宋体"/>
                      <w:bCs/>
                      <w:sz w:val="18"/>
                      <w:szCs w:val="22"/>
                    </w:rPr>
                  </w:pPr>
                </w:p>
              </w:tc>
              <w:tc>
                <w:tcPr>
                  <w:tcW w:w="1137" w:type="dxa"/>
                  <w:vAlign w:val="center"/>
                </w:tcPr>
                <w:p w14:paraId="47E6CE94">
                  <w:pPr>
                    <w:spacing w:line="240" w:lineRule="auto"/>
                    <w:jc w:val="center"/>
                    <w:rPr>
                      <w:rFonts w:ascii="宋体" w:hAnsi="宋体" w:eastAsia="宋体"/>
                      <w:bCs/>
                      <w:sz w:val="18"/>
                      <w:szCs w:val="22"/>
                    </w:rPr>
                  </w:pPr>
                  <w:r>
                    <w:rPr>
                      <w:rFonts w:ascii="宋体" w:hAnsi="宋体" w:eastAsia="宋体"/>
                      <w:bCs/>
                      <w:sz w:val="18"/>
                      <w:szCs w:val="22"/>
                    </w:rPr>
                    <w:t>公共浴室、病房设卫生间、盥洗</w:t>
                  </w:r>
                </w:p>
              </w:tc>
              <w:tc>
                <w:tcPr>
                  <w:tcW w:w="900" w:type="dxa"/>
                  <w:vAlign w:val="center"/>
                </w:tcPr>
                <w:p w14:paraId="7C8FDAD4">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35CAF9C4">
                  <w:pPr>
                    <w:spacing w:line="240" w:lineRule="auto"/>
                    <w:jc w:val="center"/>
                    <w:rPr>
                      <w:rFonts w:ascii="宋体" w:hAnsi="宋体" w:eastAsia="宋体"/>
                      <w:bCs/>
                      <w:sz w:val="18"/>
                      <w:szCs w:val="22"/>
                    </w:rPr>
                  </w:pPr>
                  <w:r>
                    <w:rPr>
                      <w:rFonts w:ascii="宋体" w:hAnsi="宋体" w:eastAsia="宋体"/>
                      <w:bCs/>
                      <w:sz w:val="18"/>
                      <w:szCs w:val="22"/>
                    </w:rPr>
                    <w:t>200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46DCACB1">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4525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35D8E07B">
                  <w:pPr>
                    <w:spacing w:line="240" w:lineRule="auto"/>
                    <w:jc w:val="center"/>
                    <w:rPr>
                      <w:rFonts w:ascii="宋体" w:hAnsi="宋体" w:eastAsia="宋体"/>
                      <w:bCs/>
                      <w:sz w:val="18"/>
                      <w:szCs w:val="22"/>
                    </w:rPr>
                  </w:pPr>
                </w:p>
              </w:tc>
              <w:tc>
                <w:tcPr>
                  <w:tcW w:w="1137" w:type="dxa"/>
                  <w:vAlign w:val="center"/>
                </w:tcPr>
                <w:p w14:paraId="5C28962A">
                  <w:pPr>
                    <w:spacing w:line="240" w:lineRule="auto"/>
                    <w:jc w:val="center"/>
                    <w:rPr>
                      <w:rFonts w:ascii="宋体" w:hAnsi="宋体" w:eastAsia="宋体"/>
                      <w:bCs/>
                      <w:sz w:val="18"/>
                      <w:szCs w:val="22"/>
                    </w:rPr>
                  </w:pPr>
                  <w:r>
                    <w:rPr>
                      <w:rFonts w:ascii="宋体" w:hAnsi="宋体" w:eastAsia="宋体"/>
                      <w:bCs/>
                      <w:sz w:val="18"/>
                      <w:szCs w:val="22"/>
                    </w:rPr>
                    <w:t>病房设浴室、卫生间、盥洗</w:t>
                  </w:r>
                </w:p>
              </w:tc>
              <w:tc>
                <w:tcPr>
                  <w:tcW w:w="900" w:type="dxa"/>
                  <w:vAlign w:val="center"/>
                </w:tcPr>
                <w:p w14:paraId="1C15AE0A">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06C274E0">
                  <w:pPr>
                    <w:spacing w:line="240" w:lineRule="auto"/>
                    <w:jc w:val="center"/>
                    <w:rPr>
                      <w:rFonts w:ascii="宋体" w:hAnsi="宋体" w:eastAsia="宋体"/>
                      <w:bCs/>
                      <w:sz w:val="18"/>
                      <w:szCs w:val="22"/>
                    </w:rPr>
                  </w:pPr>
                  <w:r>
                    <w:rPr>
                      <w:rFonts w:ascii="宋体" w:hAnsi="宋体" w:eastAsia="宋体"/>
                      <w:bCs/>
                      <w:sz w:val="18"/>
                      <w:szCs w:val="22"/>
                    </w:rPr>
                    <w:t>250</w:t>
                  </w:r>
                  <w:r>
                    <w:rPr>
                      <w:rFonts w:hint="eastAsia" w:ascii="宋体" w:hAnsi="宋体" w:eastAsia="宋体"/>
                      <w:bCs/>
                      <w:sz w:val="18"/>
                      <w:szCs w:val="22"/>
                    </w:rPr>
                    <w:t>～</w:t>
                  </w:r>
                  <w:r>
                    <w:rPr>
                      <w:rFonts w:ascii="宋体" w:hAnsi="宋体" w:eastAsia="宋体"/>
                      <w:bCs/>
                      <w:sz w:val="18"/>
                      <w:szCs w:val="22"/>
                    </w:rPr>
                    <w:t>400</w:t>
                  </w:r>
                </w:p>
              </w:tc>
              <w:tc>
                <w:tcPr>
                  <w:tcW w:w="779" w:type="dxa"/>
                  <w:vAlign w:val="center"/>
                </w:tcPr>
                <w:p w14:paraId="6D0A748A">
                  <w:pPr>
                    <w:spacing w:line="240" w:lineRule="auto"/>
                    <w:jc w:val="center"/>
                    <w:rPr>
                      <w:rFonts w:ascii="宋体" w:hAnsi="宋体" w:eastAsia="宋体"/>
                      <w:bCs/>
                      <w:sz w:val="18"/>
                      <w:szCs w:val="22"/>
                    </w:rPr>
                  </w:pPr>
                  <w:r>
                    <w:rPr>
                      <w:rFonts w:ascii="宋体" w:hAnsi="宋体" w:eastAsia="宋体"/>
                      <w:bCs/>
                      <w:sz w:val="18"/>
                      <w:szCs w:val="22"/>
                    </w:rPr>
                    <w:t>2.0</w:t>
                  </w:r>
                </w:p>
              </w:tc>
            </w:tr>
            <w:tr w14:paraId="277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51F85921">
                  <w:pPr>
                    <w:spacing w:line="240" w:lineRule="auto"/>
                    <w:jc w:val="center"/>
                    <w:rPr>
                      <w:rFonts w:ascii="宋体" w:hAnsi="宋体" w:eastAsia="宋体"/>
                      <w:bCs/>
                      <w:sz w:val="18"/>
                      <w:szCs w:val="22"/>
                    </w:rPr>
                  </w:pPr>
                </w:p>
              </w:tc>
              <w:tc>
                <w:tcPr>
                  <w:tcW w:w="1137" w:type="dxa"/>
                  <w:vAlign w:val="center"/>
                </w:tcPr>
                <w:p w14:paraId="3F80373B">
                  <w:pPr>
                    <w:spacing w:line="240" w:lineRule="auto"/>
                    <w:jc w:val="center"/>
                    <w:rPr>
                      <w:rFonts w:ascii="宋体" w:hAnsi="宋体" w:eastAsia="宋体"/>
                      <w:bCs/>
                      <w:sz w:val="18"/>
                      <w:szCs w:val="22"/>
                    </w:rPr>
                  </w:pPr>
                  <w:r>
                    <w:rPr>
                      <w:rFonts w:ascii="宋体" w:hAnsi="宋体" w:eastAsia="宋体"/>
                      <w:bCs/>
                      <w:sz w:val="18"/>
                      <w:szCs w:val="22"/>
                    </w:rPr>
                    <w:t>贵宾病房</w:t>
                  </w:r>
                </w:p>
              </w:tc>
              <w:tc>
                <w:tcPr>
                  <w:tcW w:w="900" w:type="dxa"/>
                  <w:vAlign w:val="center"/>
                </w:tcPr>
                <w:p w14:paraId="34D3B005">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381484A3">
                  <w:pPr>
                    <w:spacing w:line="240" w:lineRule="auto"/>
                    <w:jc w:val="center"/>
                    <w:rPr>
                      <w:rFonts w:ascii="宋体" w:hAnsi="宋体" w:eastAsia="宋体"/>
                      <w:bCs/>
                      <w:sz w:val="18"/>
                      <w:szCs w:val="22"/>
                    </w:rPr>
                  </w:pPr>
                  <w:r>
                    <w:rPr>
                      <w:rFonts w:ascii="宋体" w:hAnsi="宋体" w:eastAsia="宋体"/>
                      <w:bCs/>
                      <w:sz w:val="18"/>
                      <w:szCs w:val="22"/>
                    </w:rPr>
                    <w:t>400</w:t>
                  </w:r>
                  <w:r>
                    <w:rPr>
                      <w:rFonts w:hint="eastAsia" w:ascii="宋体" w:hAnsi="宋体" w:eastAsia="宋体"/>
                      <w:bCs/>
                      <w:sz w:val="18"/>
                      <w:szCs w:val="22"/>
                    </w:rPr>
                    <w:t>～</w:t>
                  </w:r>
                  <w:r>
                    <w:rPr>
                      <w:rFonts w:ascii="宋体" w:hAnsi="宋体" w:eastAsia="宋体"/>
                      <w:bCs/>
                      <w:sz w:val="18"/>
                      <w:szCs w:val="22"/>
                    </w:rPr>
                    <w:t>600</w:t>
                  </w:r>
                </w:p>
              </w:tc>
              <w:tc>
                <w:tcPr>
                  <w:tcW w:w="779" w:type="dxa"/>
                  <w:vAlign w:val="center"/>
                </w:tcPr>
                <w:p w14:paraId="06312C5F">
                  <w:pPr>
                    <w:spacing w:line="240" w:lineRule="auto"/>
                    <w:jc w:val="center"/>
                    <w:rPr>
                      <w:rFonts w:ascii="宋体" w:hAnsi="宋体" w:eastAsia="宋体"/>
                      <w:bCs/>
                      <w:sz w:val="18"/>
                      <w:szCs w:val="22"/>
                    </w:rPr>
                  </w:pPr>
                  <w:r>
                    <w:rPr>
                      <w:rFonts w:ascii="宋体" w:hAnsi="宋体" w:eastAsia="宋体"/>
                      <w:bCs/>
                      <w:sz w:val="18"/>
                      <w:szCs w:val="22"/>
                    </w:rPr>
                    <w:t>2.0</w:t>
                  </w:r>
                </w:p>
              </w:tc>
            </w:tr>
            <w:tr w14:paraId="6100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729E2E4B">
                  <w:pPr>
                    <w:spacing w:line="240" w:lineRule="auto"/>
                    <w:jc w:val="center"/>
                    <w:rPr>
                      <w:rFonts w:ascii="宋体" w:hAnsi="宋体" w:eastAsia="宋体"/>
                      <w:bCs/>
                      <w:sz w:val="18"/>
                      <w:szCs w:val="22"/>
                    </w:rPr>
                  </w:pPr>
                  <w:r>
                    <w:rPr>
                      <w:rFonts w:ascii="宋体" w:hAnsi="宋体" w:eastAsia="宋体"/>
                      <w:bCs/>
                      <w:sz w:val="18"/>
                      <w:szCs w:val="22"/>
                    </w:rPr>
                    <w:t>门</w:t>
                  </w:r>
                  <w:r>
                    <w:rPr>
                      <w:rFonts w:hint="eastAsia" w:ascii="宋体" w:hAnsi="宋体" w:eastAsia="宋体"/>
                      <w:bCs/>
                      <w:sz w:val="18"/>
                      <w:szCs w:val="22"/>
                    </w:rPr>
                    <w:t>、</w:t>
                  </w:r>
                  <w:r>
                    <w:rPr>
                      <w:rFonts w:ascii="宋体" w:hAnsi="宋体" w:eastAsia="宋体"/>
                      <w:bCs/>
                      <w:sz w:val="18"/>
                      <w:szCs w:val="22"/>
                    </w:rPr>
                    <w:t>急诊患者</w:t>
                  </w:r>
                </w:p>
              </w:tc>
              <w:tc>
                <w:tcPr>
                  <w:tcW w:w="900" w:type="dxa"/>
                  <w:vAlign w:val="center"/>
                </w:tcPr>
                <w:p w14:paraId="3962EB22">
                  <w:pPr>
                    <w:spacing w:line="240" w:lineRule="auto"/>
                    <w:jc w:val="center"/>
                    <w:rPr>
                      <w:rFonts w:ascii="宋体" w:hAnsi="宋体" w:eastAsia="宋体"/>
                      <w:bCs/>
                      <w:sz w:val="18"/>
                      <w:szCs w:val="22"/>
                    </w:rPr>
                  </w:pPr>
                  <w:r>
                    <w:rPr>
                      <w:rFonts w:ascii="宋体" w:hAnsi="宋体" w:eastAsia="宋体"/>
                      <w:bCs/>
                      <w:sz w:val="18"/>
                      <w:szCs w:val="22"/>
                    </w:rPr>
                    <w:t>L/人·次</w:t>
                  </w:r>
                </w:p>
              </w:tc>
              <w:tc>
                <w:tcPr>
                  <w:tcW w:w="720" w:type="dxa"/>
                  <w:vAlign w:val="center"/>
                </w:tcPr>
                <w:p w14:paraId="22E342CE">
                  <w:pPr>
                    <w:spacing w:line="240" w:lineRule="auto"/>
                    <w:jc w:val="center"/>
                    <w:rPr>
                      <w:rFonts w:ascii="宋体" w:hAnsi="宋体" w:eastAsia="宋体"/>
                      <w:bCs/>
                      <w:sz w:val="18"/>
                      <w:szCs w:val="22"/>
                    </w:rPr>
                  </w:pPr>
                  <w:r>
                    <w:rPr>
                      <w:rFonts w:ascii="宋体" w:hAnsi="宋体" w:eastAsia="宋体"/>
                      <w:bCs/>
                      <w:sz w:val="18"/>
                      <w:szCs w:val="22"/>
                    </w:rPr>
                    <w:t>10</w:t>
                  </w:r>
                  <w:r>
                    <w:rPr>
                      <w:rFonts w:hint="eastAsia" w:ascii="宋体" w:hAnsi="宋体" w:eastAsia="宋体"/>
                      <w:bCs/>
                      <w:sz w:val="18"/>
                      <w:szCs w:val="22"/>
                    </w:rPr>
                    <w:t>～</w:t>
                  </w:r>
                  <w:r>
                    <w:rPr>
                      <w:rFonts w:ascii="宋体" w:hAnsi="宋体" w:eastAsia="宋体"/>
                      <w:bCs/>
                      <w:sz w:val="18"/>
                      <w:szCs w:val="22"/>
                    </w:rPr>
                    <w:t>15</w:t>
                  </w:r>
                </w:p>
              </w:tc>
              <w:tc>
                <w:tcPr>
                  <w:tcW w:w="779" w:type="dxa"/>
                  <w:vAlign w:val="center"/>
                </w:tcPr>
                <w:p w14:paraId="0386AF4F">
                  <w:pPr>
                    <w:spacing w:line="240" w:lineRule="auto"/>
                    <w:jc w:val="center"/>
                    <w:rPr>
                      <w:rFonts w:ascii="宋体" w:hAnsi="宋体" w:eastAsia="宋体"/>
                      <w:bCs/>
                      <w:sz w:val="18"/>
                      <w:szCs w:val="22"/>
                    </w:rPr>
                  </w:pPr>
                  <w:r>
                    <w:rPr>
                      <w:rFonts w:ascii="宋体" w:hAnsi="宋体" w:eastAsia="宋体"/>
                      <w:bCs/>
                      <w:sz w:val="18"/>
                      <w:szCs w:val="22"/>
                    </w:rPr>
                    <w:t>2.5</w:t>
                  </w:r>
                </w:p>
              </w:tc>
            </w:tr>
            <w:tr w14:paraId="026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5A32F2A0">
                  <w:pPr>
                    <w:spacing w:line="240" w:lineRule="auto"/>
                    <w:jc w:val="center"/>
                    <w:rPr>
                      <w:rFonts w:ascii="宋体" w:hAnsi="宋体" w:eastAsia="宋体"/>
                      <w:bCs/>
                      <w:sz w:val="18"/>
                      <w:szCs w:val="22"/>
                    </w:rPr>
                  </w:pPr>
                  <w:r>
                    <w:rPr>
                      <w:rFonts w:ascii="宋体" w:hAnsi="宋体" w:eastAsia="宋体"/>
                      <w:bCs/>
                      <w:sz w:val="18"/>
                      <w:szCs w:val="22"/>
                    </w:rPr>
                    <w:t>医务人员</w:t>
                  </w:r>
                </w:p>
              </w:tc>
              <w:tc>
                <w:tcPr>
                  <w:tcW w:w="900" w:type="dxa"/>
                  <w:vAlign w:val="center"/>
                </w:tcPr>
                <w:p w14:paraId="6F92C7DA">
                  <w:pPr>
                    <w:spacing w:line="240" w:lineRule="auto"/>
                    <w:jc w:val="center"/>
                    <w:rPr>
                      <w:rFonts w:ascii="宋体" w:hAnsi="宋体" w:eastAsia="宋体"/>
                      <w:bCs/>
                      <w:sz w:val="18"/>
                      <w:szCs w:val="22"/>
                    </w:rPr>
                  </w:pPr>
                  <w:r>
                    <w:rPr>
                      <w:rFonts w:ascii="宋体" w:hAnsi="宋体" w:eastAsia="宋体"/>
                      <w:bCs/>
                      <w:sz w:val="18"/>
                      <w:szCs w:val="22"/>
                    </w:rPr>
                    <w:t>L/人·班</w:t>
                  </w:r>
                </w:p>
              </w:tc>
              <w:tc>
                <w:tcPr>
                  <w:tcW w:w="720" w:type="dxa"/>
                  <w:vAlign w:val="center"/>
                </w:tcPr>
                <w:p w14:paraId="6D09ED54">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30E2A887">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6A62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6B6E86B5">
                  <w:pPr>
                    <w:spacing w:line="240" w:lineRule="auto"/>
                    <w:jc w:val="center"/>
                    <w:rPr>
                      <w:rFonts w:ascii="宋体" w:hAnsi="宋体" w:eastAsia="宋体"/>
                      <w:bCs/>
                      <w:sz w:val="18"/>
                      <w:szCs w:val="22"/>
                    </w:rPr>
                  </w:pPr>
                  <w:r>
                    <w:rPr>
                      <w:rFonts w:ascii="宋体" w:hAnsi="宋体" w:eastAsia="宋体"/>
                      <w:bCs/>
                      <w:sz w:val="18"/>
                      <w:szCs w:val="22"/>
                    </w:rPr>
                    <w:t>医院后勤职工</w:t>
                  </w:r>
                </w:p>
              </w:tc>
              <w:tc>
                <w:tcPr>
                  <w:tcW w:w="900" w:type="dxa"/>
                  <w:vAlign w:val="center"/>
                </w:tcPr>
                <w:p w14:paraId="0A32C0A0">
                  <w:pPr>
                    <w:spacing w:line="240" w:lineRule="auto"/>
                    <w:jc w:val="center"/>
                    <w:rPr>
                      <w:rFonts w:ascii="宋体" w:hAnsi="宋体" w:eastAsia="宋体"/>
                      <w:bCs/>
                      <w:sz w:val="18"/>
                      <w:szCs w:val="22"/>
                    </w:rPr>
                  </w:pPr>
                  <w:r>
                    <w:rPr>
                      <w:rFonts w:ascii="宋体" w:hAnsi="宋体" w:eastAsia="宋体"/>
                      <w:bCs/>
                      <w:sz w:val="18"/>
                      <w:szCs w:val="22"/>
                    </w:rPr>
                    <w:t>L/人·班</w:t>
                  </w:r>
                </w:p>
              </w:tc>
              <w:tc>
                <w:tcPr>
                  <w:tcW w:w="720" w:type="dxa"/>
                  <w:vAlign w:val="center"/>
                </w:tcPr>
                <w:p w14:paraId="58146FB3">
                  <w:pPr>
                    <w:spacing w:line="240" w:lineRule="auto"/>
                    <w:jc w:val="center"/>
                    <w:rPr>
                      <w:rFonts w:ascii="宋体" w:hAnsi="宋体" w:eastAsia="宋体"/>
                      <w:bCs/>
                      <w:sz w:val="18"/>
                      <w:szCs w:val="22"/>
                    </w:rPr>
                  </w:pPr>
                  <w:r>
                    <w:rPr>
                      <w:rFonts w:ascii="宋体" w:hAnsi="宋体" w:eastAsia="宋体"/>
                      <w:bCs/>
                      <w:sz w:val="18"/>
                      <w:szCs w:val="22"/>
                    </w:rPr>
                    <w:t>80</w:t>
                  </w:r>
                  <w:r>
                    <w:rPr>
                      <w:rFonts w:hint="eastAsia" w:ascii="宋体" w:hAnsi="宋体" w:eastAsia="宋体"/>
                      <w:bCs/>
                      <w:sz w:val="18"/>
                      <w:szCs w:val="22"/>
                    </w:rPr>
                    <w:t>～</w:t>
                  </w:r>
                  <w:r>
                    <w:rPr>
                      <w:rFonts w:ascii="宋体" w:hAnsi="宋体" w:eastAsia="宋体"/>
                      <w:bCs/>
                      <w:sz w:val="18"/>
                      <w:szCs w:val="22"/>
                    </w:rPr>
                    <w:t>100</w:t>
                  </w:r>
                </w:p>
              </w:tc>
              <w:tc>
                <w:tcPr>
                  <w:tcW w:w="779" w:type="dxa"/>
                  <w:vAlign w:val="center"/>
                </w:tcPr>
                <w:p w14:paraId="230DFB00">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C6F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6E7A7548">
                  <w:pPr>
                    <w:spacing w:line="240" w:lineRule="auto"/>
                    <w:jc w:val="center"/>
                    <w:rPr>
                      <w:rFonts w:ascii="宋体" w:hAnsi="宋体" w:eastAsia="宋体"/>
                      <w:bCs/>
                      <w:sz w:val="18"/>
                      <w:szCs w:val="22"/>
                    </w:rPr>
                  </w:pPr>
                  <w:r>
                    <w:rPr>
                      <w:rFonts w:ascii="宋体" w:hAnsi="宋体" w:eastAsia="宋体"/>
                      <w:bCs/>
                      <w:sz w:val="18"/>
                      <w:szCs w:val="22"/>
                    </w:rPr>
                    <w:t>食堂</w:t>
                  </w:r>
                </w:p>
              </w:tc>
              <w:tc>
                <w:tcPr>
                  <w:tcW w:w="900" w:type="dxa"/>
                  <w:vAlign w:val="center"/>
                </w:tcPr>
                <w:p w14:paraId="6AF24DC1">
                  <w:pPr>
                    <w:spacing w:line="240" w:lineRule="auto"/>
                    <w:jc w:val="center"/>
                    <w:rPr>
                      <w:rFonts w:ascii="宋体" w:hAnsi="宋体" w:eastAsia="宋体"/>
                      <w:bCs/>
                      <w:sz w:val="18"/>
                      <w:szCs w:val="22"/>
                    </w:rPr>
                  </w:pPr>
                  <w:r>
                    <w:rPr>
                      <w:rFonts w:ascii="宋体" w:hAnsi="宋体" w:eastAsia="宋体"/>
                      <w:bCs/>
                      <w:sz w:val="18"/>
                      <w:szCs w:val="22"/>
                    </w:rPr>
                    <w:t>L/人·次</w:t>
                  </w:r>
                </w:p>
              </w:tc>
              <w:tc>
                <w:tcPr>
                  <w:tcW w:w="720" w:type="dxa"/>
                  <w:vAlign w:val="center"/>
                </w:tcPr>
                <w:p w14:paraId="6C9DD607">
                  <w:pPr>
                    <w:spacing w:line="240" w:lineRule="auto"/>
                    <w:jc w:val="center"/>
                    <w:rPr>
                      <w:rFonts w:ascii="宋体" w:hAnsi="宋体" w:eastAsia="宋体"/>
                      <w:bCs/>
                      <w:sz w:val="18"/>
                      <w:szCs w:val="22"/>
                    </w:rPr>
                  </w:pPr>
                  <w:r>
                    <w:rPr>
                      <w:rFonts w:hint="eastAsia" w:ascii="宋体" w:hAnsi="宋体" w:eastAsia="宋体"/>
                      <w:bCs/>
                      <w:sz w:val="18"/>
                      <w:szCs w:val="22"/>
                    </w:rPr>
                    <w:t>20～25</w:t>
                  </w:r>
                </w:p>
              </w:tc>
              <w:tc>
                <w:tcPr>
                  <w:tcW w:w="779" w:type="dxa"/>
                  <w:vAlign w:val="center"/>
                </w:tcPr>
                <w:p w14:paraId="7E28C08D">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1.5</w:t>
                  </w:r>
                </w:p>
              </w:tc>
            </w:tr>
            <w:tr w14:paraId="095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6BA65EA7">
                  <w:pPr>
                    <w:spacing w:line="240" w:lineRule="auto"/>
                    <w:jc w:val="center"/>
                    <w:rPr>
                      <w:rFonts w:ascii="宋体" w:hAnsi="宋体" w:eastAsia="宋体"/>
                      <w:bCs/>
                      <w:sz w:val="18"/>
                      <w:szCs w:val="22"/>
                    </w:rPr>
                  </w:pPr>
                  <w:r>
                    <w:rPr>
                      <w:rFonts w:ascii="宋体" w:hAnsi="宋体" w:eastAsia="宋体"/>
                      <w:bCs/>
                      <w:sz w:val="18"/>
                      <w:szCs w:val="22"/>
                    </w:rPr>
                    <w:t>洗衣</w:t>
                  </w:r>
                </w:p>
              </w:tc>
              <w:tc>
                <w:tcPr>
                  <w:tcW w:w="900" w:type="dxa"/>
                  <w:vAlign w:val="center"/>
                </w:tcPr>
                <w:p w14:paraId="688A1797">
                  <w:pPr>
                    <w:spacing w:line="240" w:lineRule="auto"/>
                    <w:jc w:val="center"/>
                    <w:rPr>
                      <w:rFonts w:ascii="宋体" w:hAnsi="宋体" w:eastAsia="宋体"/>
                      <w:bCs/>
                      <w:sz w:val="18"/>
                      <w:szCs w:val="22"/>
                    </w:rPr>
                  </w:pPr>
                  <w:r>
                    <w:rPr>
                      <w:rFonts w:ascii="宋体" w:hAnsi="宋体" w:eastAsia="宋体"/>
                      <w:bCs/>
                      <w:sz w:val="18"/>
                      <w:szCs w:val="22"/>
                    </w:rPr>
                    <w:t>L/kg</w:t>
                  </w:r>
                </w:p>
              </w:tc>
              <w:tc>
                <w:tcPr>
                  <w:tcW w:w="720" w:type="dxa"/>
                  <w:vAlign w:val="center"/>
                </w:tcPr>
                <w:p w14:paraId="14B7DD7D">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w:t>
                  </w:r>
                  <w:r>
                    <w:rPr>
                      <w:rFonts w:ascii="宋体" w:hAnsi="宋体" w:eastAsia="宋体"/>
                      <w:bCs/>
                      <w:sz w:val="18"/>
                      <w:szCs w:val="22"/>
                    </w:rPr>
                    <w:t>80</w:t>
                  </w:r>
                </w:p>
              </w:tc>
              <w:tc>
                <w:tcPr>
                  <w:tcW w:w="779" w:type="dxa"/>
                  <w:vAlign w:val="center"/>
                </w:tcPr>
                <w:p w14:paraId="6CB8D1E2">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1.0</w:t>
                  </w:r>
                </w:p>
              </w:tc>
            </w:tr>
          </w:tbl>
          <w:p w14:paraId="2D6E0D3E">
            <w:pPr>
              <w:spacing w:line="240" w:lineRule="auto"/>
              <w:ind w:firstLine="360" w:firstLineChars="200"/>
              <w:jc w:val="left"/>
              <w:rPr>
                <w:rFonts w:ascii="宋体" w:hAnsi="宋体" w:eastAsia="宋体" w:cs="宋体"/>
                <w:kern w:val="0"/>
                <w:sz w:val="18"/>
              </w:rPr>
            </w:pPr>
            <w:r>
              <w:rPr>
                <w:rFonts w:ascii="宋体" w:hAnsi="宋体" w:eastAsia="宋体" w:cs="宋体"/>
                <w:kern w:val="0"/>
                <w:sz w:val="18"/>
              </w:rPr>
              <w:t>注：1 医务人员的用水量包括手术室、中心供应等医院常规医疗用水；</w:t>
            </w:r>
          </w:p>
          <w:p w14:paraId="71FEC143">
            <w:pPr>
              <w:spacing w:line="240" w:lineRule="auto"/>
              <w:ind w:firstLine="360" w:firstLineChars="200"/>
              <w:jc w:val="left"/>
            </w:pPr>
            <w:r>
              <w:rPr>
                <w:rFonts w:ascii="宋体" w:hAnsi="宋体" w:eastAsia="宋体" w:cs="宋体"/>
                <w:kern w:val="0"/>
                <w:sz w:val="18"/>
              </w:rPr>
              <w:t>2 道路和绿化用水应根据当地气候条件确定。</w:t>
            </w:r>
          </w:p>
        </w:tc>
        <w:tc>
          <w:tcPr>
            <w:tcW w:w="4261" w:type="dxa"/>
          </w:tcPr>
          <w:p w14:paraId="55491AF4">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
                <w:bCs/>
                <w:kern w:val="0"/>
              </w:rPr>
              <w:t xml:space="preserve"> </w:t>
            </w:r>
            <w:r>
              <w:rPr>
                <w:rFonts w:ascii="宋体" w:hAnsi="宋体" w:eastAsia="宋体" w:cs="宋体"/>
                <w:kern w:val="0"/>
              </w:rPr>
              <w:t>医院生活用水量</w:t>
            </w:r>
            <w:r>
              <w:rPr>
                <w:rFonts w:ascii="宋体" w:hAnsi="宋体" w:eastAsia="宋体" w:cs="宋体"/>
                <w:kern w:val="0"/>
                <w:u w:val="single"/>
              </w:rPr>
              <w:t>应根据当地用水统计数据经分析研究确定当地用水定额</w:t>
            </w:r>
            <w:r>
              <w:rPr>
                <w:rFonts w:hint="eastAsia" w:ascii="宋体" w:hAnsi="宋体" w:eastAsia="宋体" w:cs="宋体"/>
                <w:kern w:val="0"/>
                <w:u w:val="single"/>
              </w:rPr>
              <w:t>，</w:t>
            </w:r>
            <w:r>
              <w:rPr>
                <w:rFonts w:ascii="宋体" w:hAnsi="宋体" w:eastAsia="宋体" w:cs="宋体"/>
                <w:kern w:val="0"/>
                <w:u w:val="single"/>
              </w:rPr>
              <w:t>当无数据时</w:t>
            </w:r>
            <w:r>
              <w:rPr>
                <w:rFonts w:hint="eastAsia" w:ascii="宋体" w:hAnsi="宋体" w:eastAsia="宋体" w:cs="宋体"/>
                <w:kern w:val="0"/>
                <w:u w:val="single"/>
              </w:rPr>
              <w:t>，</w:t>
            </w:r>
            <w:r>
              <w:rPr>
                <w:rFonts w:ascii="宋体" w:hAnsi="宋体" w:eastAsia="宋体" w:cs="宋体"/>
                <w:kern w:val="0"/>
                <w:u w:val="single"/>
              </w:rPr>
              <w:t>用水</w:t>
            </w:r>
            <w:r>
              <w:rPr>
                <w:rFonts w:ascii="宋体" w:hAnsi="宋体" w:eastAsia="宋体" w:cs="宋体"/>
                <w:kern w:val="0"/>
              </w:rPr>
              <w:t>定额宜符合表6</w:t>
            </w:r>
            <w:r>
              <w:rPr>
                <w:rFonts w:hint="eastAsia" w:ascii="宋体" w:hAnsi="宋体" w:eastAsia="宋体" w:cs="宋体"/>
                <w:kern w:val="0"/>
              </w:rPr>
              <w:t>.</w:t>
            </w:r>
            <w:r>
              <w:rPr>
                <w:rFonts w:ascii="宋体" w:hAnsi="宋体" w:eastAsia="宋体" w:cs="宋体"/>
                <w:kern w:val="0"/>
              </w:rPr>
              <w:t>2</w:t>
            </w:r>
            <w:r>
              <w:rPr>
                <w:rFonts w:hint="eastAsia" w:ascii="宋体" w:hAnsi="宋体" w:eastAsia="宋体" w:cs="宋体"/>
                <w:kern w:val="0"/>
              </w:rPr>
              <w:t>.</w:t>
            </w:r>
            <w:r>
              <w:rPr>
                <w:rFonts w:ascii="宋体" w:hAnsi="宋体" w:eastAsia="宋体" w:cs="宋体"/>
                <w:kern w:val="0"/>
              </w:rPr>
              <w:t>2的规定。</w:t>
            </w:r>
          </w:p>
          <w:p w14:paraId="709BE6F8">
            <w:pPr>
              <w:jc w:val="center"/>
              <w:rPr>
                <w:rFonts w:ascii="宋体" w:hAnsi="宋体" w:eastAsia="宋体"/>
                <w:b/>
                <w:bCs/>
                <w:sz w:val="18"/>
                <w:szCs w:val="22"/>
              </w:rPr>
            </w:pPr>
            <w:r>
              <w:rPr>
                <w:rFonts w:ascii="宋体" w:hAnsi="宋体" w:eastAsia="宋体"/>
                <w:b/>
                <w:bCs/>
                <w:sz w:val="18"/>
                <w:szCs w:val="22"/>
              </w:rPr>
              <w:t>表</w:t>
            </w:r>
            <w:r>
              <w:rPr>
                <w:rFonts w:hint="eastAsia" w:ascii="宋体" w:hAnsi="宋体" w:eastAsia="宋体"/>
                <w:b/>
                <w:bCs/>
                <w:sz w:val="18"/>
                <w:szCs w:val="22"/>
              </w:rPr>
              <w:t>6.2.2</w:t>
            </w:r>
            <w:r>
              <w:rPr>
                <w:rFonts w:ascii="宋体" w:hAnsi="宋体" w:eastAsia="宋体"/>
                <w:b/>
                <w:bCs/>
                <w:sz w:val="18"/>
                <w:szCs w:val="22"/>
              </w:rPr>
              <w:t xml:space="preserve"> 医院生活用水量定额</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5"/>
              <w:gridCol w:w="1137"/>
              <w:gridCol w:w="900"/>
              <w:gridCol w:w="720"/>
              <w:gridCol w:w="779"/>
            </w:tblGrid>
            <w:tr w14:paraId="3AB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Align w:val="center"/>
                </w:tcPr>
                <w:p w14:paraId="27F89A40">
                  <w:pPr>
                    <w:spacing w:line="240" w:lineRule="auto"/>
                    <w:jc w:val="center"/>
                    <w:rPr>
                      <w:rFonts w:ascii="宋体" w:hAnsi="宋体" w:eastAsia="宋体"/>
                      <w:bCs/>
                      <w:sz w:val="18"/>
                      <w:szCs w:val="22"/>
                    </w:rPr>
                  </w:pPr>
                  <w:r>
                    <w:rPr>
                      <w:rFonts w:ascii="宋体" w:hAnsi="宋体" w:eastAsia="宋体"/>
                      <w:bCs/>
                      <w:sz w:val="18"/>
                      <w:szCs w:val="22"/>
                    </w:rPr>
                    <w:t>项目</w:t>
                  </w:r>
                </w:p>
              </w:tc>
              <w:tc>
                <w:tcPr>
                  <w:tcW w:w="1137" w:type="dxa"/>
                  <w:vAlign w:val="center"/>
                </w:tcPr>
                <w:p w14:paraId="0742614B">
                  <w:pPr>
                    <w:spacing w:line="240" w:lineRule="auto"/>
                    <w:jc w:val="center"/>
                    <w:rPr>
                      <w:rFonts w:ascii="宋体" w:hAnsi="宋体" w:eastAsia="宋体"/>
                      <w:bCs/>
                      <w:sz w:val="18"/>
                      <w:szCs w:val="22"/>
                    </w:rPr>
                  </w:pPr>
                  <w:r>
                    <w:rPr>
                      <w:rFonts w:ascii="宋体" w:hAnsi="宋体" w:eastAsia="宋体"/>
                      <w:bCs/>
                      <w:sz w:val="18"/>
                      <w:szCs w:val="22"/>
                    </w:rPr>
                    <w:t>设施标准</w:t>
                  </w:r>
                </w:p>
              </w:tc>
              <w:tc>
                <w:tcPr>
                  <w:tcW w:w="900" w:type="dxa"/>
                  <w:vAlign w:val="center"/>
                </w:tcPr>
                <w:p w14:paraId="189B3E22">
                  <w:pPr>
                    <w:spacing w:line="240" w:lineRule="auto"/>
                    <w:jc w:val="center"/>
                    <w:rPr>
                      <w:rFonts w:ascii="宋体" w:hAnsi="宋体" w:eastAsia="宋体"/>
                      <w:bCs/>
                      <w:sz w:val="18"/>
                      <w:szCs w:val="22"/>
                    </w:rPr>
                  </w:pPr>
                  <w:r>
                    <w:rPr>
                      <w:rFonts w:ascii="宋体" w:hAnsi="宋体" w:eastAsia="宋体"/>
                      <w:bCs/>
                      <w:sz w:val="18"/>
                      <w:szCs w:val="22"/>
                    </w:rPr>
                    <w:t>单位</w:t>
                  </w:r>
                </w:p>
              </w:tc>
              <w:tc>
                <w:tcPr>
                  <w:tcW w:w="720" w:type="dxa"/>
                  <w:vAlign w:val="center"/>
                </w:tcPr>
                <w:p w14:paraId="16AB678F">
                  <w:pPr>
                    <w:spacing w:line="240" w:lineRule="auto"/>
                    <w:jc w:val="center"/>
                    <w:rPr>
                      <w:rFonts w:ascii="宋体" w:hAnsi="宋体" w:eastAsia="宋体"/>
                      <w:bCs/>
                      <w:sz w:val="18"/>
                      <w:szCs w:val="22"/>
                    </w:rPr>
                  </w:pPr>
                  <w:r>
                    <w:rPr>
                      <w:rFonts w:ascii="宋体" w:hAnsi="宋体" w:eastAsia="宋体"/>
                      <w:bCs/>
                      <w:sz w:val="18"/>
                      <w:szCs w:val="22"/>
                    </w:rPr>
                    <w:t>最高日用水量</w:t>
                  </w:r>
                </w:p>
              </w:tc>
              <w:tc>
                <w:tcPr>
                  <w:tcW w:w="779" w:type="dxa"/>
                  <w:vAlign w:val="center"/>
                </w:tcPr>
                <w:p w14:paraId="48B09E2F">
                  <w:pPr>
                    <w:spacing w:line="240" w:lineRule="auto"/>
                    <w:jc w:val="center"/>
                    <w:rPr>
                      <w:rFonts w:ascii="宋体" w:hAnsi="宋体" w:eastAsia="宋体"/>
                      <w:bCs/>
                      <w:sz w:val="18"/>
                      <w:szCs w:val="22"/>
                    </w:rPr>
                  </w:pPr>
                  <w:r>
                    <w:rPr>
                      <w:rFonts w:ascii="宋体" w:hAnsi="宋体" w:eastAsia="宋体"/>
                      <w:bCs/>
                      <w:sz w:val="18"/>
                      <w:szCs w:val="22"/>
                    </w:rPr>
                    <w:t>小时变化系数</w:t>
                  </w:r>
                </w:p>
              </w:tc>
            </w:tr>
            <w:tr w14:paraId="2E2E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restart"/>
                  <w:vAlign w:val="center"/>
                </w:tcPr>
                <w:p w14:paraId="3DA24F8B">
                  <w:pPr>
                    <w:spacing w:line="240" w:lineRule="auto"/>
                    <w:jc w:val="center"/>
                    <w:rPr>
                      <w:rFonts w:ascii="宋体" w:hAnsi="宋体" w:eastAsia="宋体"/>
                      <w:bCs/>
                      <w:sz w:val="18"/>
                      <w:szCs w:val="22"/>
                    </w:rPr>
                  </w:pPr>
                  <w:r>
                    <w:rPr>
                      <w:rFonts w:ascii="宋体" w:hAnsi="宋体" w:eastAsia="宋体"/>
                      <w:bCs/>
                      <w:sz w:val="18"/>
                      <w:szCs w:val="22"/>
                    </w:rPr>
                    <w:t>每</w:t>
                  </w:r>
                </w:p>
                <w:p w14:paraId="16D261CA">
                  <w:pPr>
                    <w:spacing w:line="240" w:lineRule="auto"/>
                    <w:jc w:val="center"/>
                    <w:rPr>
                      <w:rFonts w:ascii="宋体" w:hAnsi="宋体" w:eastAsia="宋体"/>
                      <w:bCs/>
                      <w:sz w:val="18"/>
                      <w:szCs w:val="22"/>
                    </w:rPr>
                  </w:pPr>
                  <w:r>
                    <w:rPr>
                      <w:rFonts w:ascii="宋体" w:hAnsi="宋体" w:eastAsia="宋体"/>
                      <w:bCs/>
                      <w:sz w:val="18"/>
                      <w:szCs w:val="22"/>
                    </w:rPr>
                    <w:t>病</w:t>
                  </w:r>
                </w:p>
                <w:p w14:paraId="1FFE3124">
                  <w:pPr>
                    <w:spacing w:line="240" w:lineRule="auto"/>
                    <w:jc w:val="center"/>
                    <w:rPr>
                      <w:rFonts w:ascii="宋体" w:hAnsi="宋体" w:eastAsia="宋体"/>
                      <w:bCs/>
                      <w:sz w:val="18"/>
                      <w:szCs w:val="22"/>
                    </w:rPr>
                  </w:pPr>
                  <w:r>
                    <w:rPr>
                      <w:rFonts w:ascii="宋体" w:hAnsi="宋体" w:eastAsia="宋体"/>
                      <w:bCs/>
                      <w:sz w:val="18"/>
                      <w:szCs w:val="22"/>
                    </w:rPr>
                    <w:t>床</w:t>
                  </w:r>
                </w:p>
              </w:tc>
              <w:tc>
                <w:tcPr>
                  <w:tcW w:w="1137" w:type="dxa"/>
                  <w:vAlign w:val="center"/>
                </w:tcPr>
                <w:p w14:paraId="75AFF2BD">
                  <w:pPr>
                    <w:spacing w:line="240" w:lineRule="auto"/>
                    <w:jc w:val="center"/>
                    <w:rPr>
                      <w:rFonts w:ascii="宋体" w:hAnsi="宋体" w:eastAsia="宋体"/>
                      <w:bCs/>
                      <w:sz w:val="18"/>
                      <w:szCs w:val="22"/>
                    </w:rPr>
                  </w:pPr>
                  <w:r>
                    <w:rPr>
                      <w:rFonts w:ascii="宋体" w:hAnsi="宋体" w:eastAsia="宋体"/>
                      <w:bCs/>
                      <w:sz w:val="18"/>
                      <w:szCs w:val="22"/>
                    </w:rPr>
                    <w:t>公共卫生间、盥洗</w:t>
                  </w:r>
                </w:p>
              </w:tc>
              <w:tc>
                <w:tcPr>
                  <w:tcW w:w="900" w:type="dxa"/>
                  <w:vAlign w:val="center"/>
                </w:tcPr>
                <w:p w14:paraId="7A00337E">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74C46C45">
                  <w:pPr>
                    <w:spacing w:line="240" w:lineRule="auto"/>
                    <w:jc w:val="center"/>
                    <w:rPr>
                      <w:rFonts w:ascii="宋体" w:hAnsi="宋体" w:eastAsia="宋体"/>
                      <w:bCs/>
                      <w:sz w:val="18"/>
                      <w:szCs w:val="22"/>
                    </w:rPr>
                  </w:pPr>
                  <w:r>
                    <w:rPr>
                      <w:rFonts w:ascii="宋体" w:hAnsi="宋体" w:eastAsia="宋体"/>
                      <w:bCs/>
                      <w:sz w:val="18"/>
                      <w:szCs w:val="22"/>
                    </w:rPr>
                    <w:t>100</w:t>
                  </w:r>
                  <w:r>
                    <w:rPr>
                      <w:rFonts w:hint="eastAsia" w:ascii="宋体" w:hAnsi="宋体" w:eastAsia="宋体"/>
                      <w:bCs/>
                      <w:sz w:val="18"/>
                      <w:szCs w:val="22"/>
                    </w:rPr>
                    <w:t>～</w:t>
                  </w:r>
                  <w:r>
                    <w:rPr>
                      <w:rFonts w:ascii="宋体" w:hAnsi="宋体" w:eastAsia="宋体"/>
                      <w:bCs/>
                      <w:sz w:val="18"/>
                      <w:szCs w:val="22"/>
                    </w:rPr>
                    <w:t>200</w:t>
                  </w:r>
                </w:p>
              </w:tc>
              <w:tc>
                <w:tcPr>
                  <w:tcW w:w="779" w:type="dxa"/>
                  <w:vAlign w:val="center"/>
                </w:tcPr>
                <w:p w14:paraId="2E7A8AE1">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5129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4D7BAB2A">
                  <w:pPr>
                    <w:spacing w:line="240" w:lineRule="auto"/>
                    <w:jc w:val="center"/>
                    <w:rPr>
                      <w:rFonts w:ascii="宋体" w:hAnsi="宋体" w:eastAsia="宋体"/>
                      <w:bCs/>
                      <w:sz w:val="18"/>
                      <w:szCs w:val="22"/>
                    </w:rPr>
                  </w:pPr>
                </w:p>
              </w:tc>
              <w:tc>
                <w:tcPr>
                  <w:tcW w:w="1137" w:type="dxa"/>
                  <w:vAlign w:val="center"/>
                </w:tcPr>
                <w:p w14:paraId="1C625722">
                  <w:pPr>
                    <w:spacing w:line="240" w:lineRule="auto"/>
                    <w:jc w:val="center"/>
                    <w:rPr>
                      <w:rFonts w:ascii="宋体" w:hAnsi="宋体" w:eastAsia="宋体"/>
                      <w:bCs/>
                      <w:sz w:val="18"/>
                      <w:szCs w:val="22"/>
                    </w:rPr>
                  </w:pPr>
                  <w:r>
                    <w:rPr>
                      <w:rFonts w:ascii="宋体" w:hAnsi="宋体" w:eastAsia="宋体"/>
                      <w:bCs/>
                      <w:sz w:val="18"/>
                      <w:szCs w:val="22"/>
                    </w:rPr>
                    <w:t>公共浴室、卫生间、盥洗</w:t>
                  </w:r>
                </w:p>
              </w:tc>
              <w:tc>
                <w:tcPr>
                  <w:tcW w:w="900" w:type="dxa"/>
                  <w:vAlign w:val="center"/>
                </w:tcPr>
                <w:p w14:paraId="03B563E9">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60C689BB">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3B9EAB97">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A5F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45CBBE63">
                  <w:pPr>
                    <w:spacing w:line="240" w:lineRule="auto"/>
                    <w:jc w:val="center"/>
                    <w:rPr>
                      <w:rFonts w:ascii="宋体" w:hAnsi="宋体" w:eastAsia="宋体"/>
                      <w:bCs/>
                      <w:sz w:val="18"/>
                      <w:szCs w:val="22"/>
                    </w:rPr>
                  </w:pPr>
                </w:p>
              </w:tc>
              <w:tc>
                <w:tcPr>
                  <w:tcW w:w="1137" w:type="dxa"/>
                  <w:vAlign w:val="center"/>
                </w:tcPr>
                <w:p w14:paraId="3453A5EC">
                  <w:pPr>
                    <w:spacing w:line="240" w:lineRule="auto"/>
                    <w:jc w:val="center"/>
                    <w:rPr>
                      <w:rFonts w:ascii="宋体" w:hAnsi="宋体" w:eastAsia="宋体"/>
                      <w:bCs/>
                      <w:sz w:val="18"/>
                      <w:szCs w:val="22"/>
                    </w:rPr>
                  </w:pPr>
                  <w:r>
                    <w:rPr>
                      <w:rFonts w:ascii="宋体" w:hAnsi="宋体" w:eastAsia="宋体"/>
                      <w:bCs/>
                      <w:sz w:val="18"/>
                      <w:szCs w:val="22"/>
                    </w:rPr>
                    <w:t>公共浴室、病房设卫生间、盥洗</w:t>
                  </w:r>
                </w:p>
              </w:tc>
              <w:tc>
                <w:tcPr>
                  <w:tcW w:w="900" w:type="dxa"/>
                  <w:vAlign w:val="center"/>
                </w:tcPr>
                <w:p w14:paraId="08110CEE">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1129B0CC">
                  <w:pPr>
                    <w:spacing w:line="240" w:lineRule="auto"/>
                    <w:jc w:val="center"/>
                    <w:rPr>
                      <w:rFonts w:ascii="宋体" w:hAnsi="宋体" w:eastAsia="宋体"/>
                      <w:bCs/>
                      <w:sz w:val="18"/>
                      <w:szCs w:val="22"/>
                    </w:rPr>
                  </w:pPr>
                  <w:r>
                    <w:rPr>
                      <w:rFonts w:ascii="宋体" w:hAnsi="宋体" w:eastAsia="宋体"/>
                      <w:bCs/>
                      <w:sz w:val="18"/>
                      <w:szCs w:val="22"/>
                    </w:rPr>
                    <w:t>200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07704DA4">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024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33B3248D">
                  <w:pPr>
                    <w:spacing w:line="240" w:lineRule="auto"/>
                    <w:jc w:val="center"/>
                    <w:rPr>
                      <w:rFonts w:ascii="宋体" w:hAnsi="宋体" w:eastAsia="宋体"/>
                      <w:bCs/>
                      <w:sz w:val="18"/>
                      <w:szCs w:val="22"/>
                    </w:rPr>
                  </w:pPr>
                </w:p>
              </w:tc>
              <w:tc>
                <w:tcPr>
                  <w:tcW w:w="1137" w:type="dxa"/>
                  <w:vAlign w:val="center"/>
                </w:tcPr>
                <w:p w14:paraId="7A8E08C4">
                  <w:pPr>
                    <w:spacing w:line="240" w:lineRule="auto"/>
                    <w:jc w:val="center"/>
                    <w:rPr>
                      <w:rFonts w:ascii="宋体" w:hAnsi="宋体" w:eastAsia="宋体"/>
                      <w:bCs/>
                      <w:sz w:val="18"/>
                      <w:szCs w:val="22"/>
                    </w:rPr>
                  </w:pPr>
                  <w:r>
                    <w:rPr>
                      <w:rFonts w:ascii="宋体" w:hAnsi="宋体" w:eastAsia="宋体"/>
                      <w:bCs/>
                      <w:sz w:val="18"/>
                      <w:szCs w:val="22"/>
                    </w:rPr>
                    <w:t>病房设浴室、卫生间、盥洗</w:t>
                  </w:r>
                </w:p>
              </w:tc>
              <w:tc>
                <w:tcPr>
                  <w:tcW w:w="900" w:type="dxa"/>
                  <w:vAlign w:val="center"/>
                </w:tcPr>
                <w:p w14:paraId="35F33559">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4E5271C5">
                  <w:pPr>
                    <w:spacing w:line="240" w:lineRule="auto"/>
                    <w:jc w:val="center"/>
                    <w:rPr>
                      <w:rFonts w:ascii="宋体" w:hAnsi="宋体" w:eastAsia="宋体"/>
                      <w:bCs/>
                      <w:sz w:val="18"/>
                      <w:szCs w:val="22"/>
                    </w:rPr>
                  </w:pPr>
                  <w:r>
                    <w:rPr>
                      <w:rFonts w:ascii="宋体" w:hAnsi="宋体" w:eastAsia="宋体"/>
                      <w:bCs/>
                      <w:sz w:val="18"/>
                      <w:szCs w:val="22"/>
                    </w:rPr>
                    <w:t>250</w:t>
                  </w:r>
                  <w:r>
                    <w:rPr>
                      <w:rFonts w:hint="eastAsia" w:ascii="宋体" w:hAnsi="宋体" w:eastAsia="宋体"/>
                      <w:bCs/>
                      <w:sz w:val="18"/>
                      <w:szCs w:val="22"/>
                    </w:rPr>
                    <w:t>～</w:t>
                  </w:r>
                  <w:r>
                    <w:rPr>
                      <w:rFonts w:ascii="宋体" w:hAnsi="宋体" w:eastAsia="宋体"/>
                      <w:bCs/>
                      <w:sz w:val="18"/>
                      <w:szCs w:val="22"/>
                    </w:rPr>
                    <w:t>400</w:t>
                  </w:r>
                </w:p>
              </w:tc>
              <w:tc>
                <w:tcPr>
                  <w:tcW w:w="779" w:type="dxa"/>
                  <w:vAlign w:val="center"/>
                </w:tcPr>
                <w:p w14:paraId="4BE3759F">
                  <w:pPr>
                    <w:spacing w:line="240" w:lineRule="auto"/>
                    <w:jc w:val="center"/>
                    <w:rPr>
                      <w:rFonts w:ascii="宋体" w:hAnsi="宋体" w:eastAsia="宋体"/>
                      <w:bCs/>
                      <w:sz w:val="18"/>
                      <w:szCs w:val="22"/>
                    </w:rPr>
                  </w:pPr>
                  <w:r>
                    <w:rPr>
                      <w:rFonts w:ascii="宋体" w:hAnsi="宋体" w:eastAsia="宋体"/>
                      <w:bCs/>
                      <w:sz w:val="18"/>
                      <w:szCs w:val="22"/>
                    </w:rPr>
                    <w:t>2.0</w:t>
                  </w:r>
                </w:p>
              </w:tc>
            </w:tr>
            <w:tr w14:paraId="2E94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355" w:type="dxa"/>
                  <w:vMerge w:val="continue"/>
                  <w:vAlign w:val="center"/>
                </w:tcPr>
                <w:p w14:paraId="37DA5315">
                  <w:pPr>
                    <w:spacing w:line="240" w:lineRule="auto"/>
                    <w:jc w:val="center"/>
                    <w:rPr>
                      <w:rFonts w:ascii="宋体" w:hAnsi="宋体" w:eastAsia="宋体"/>
                      <w:bCs/>
                      <w:sz w:val="18"/>
                      <w:szCs w:val="22"/>
                    </w:rPr>
                  </w:pPr>
                </w:p>
              </w:tc>
              <w:tc>
                <w:tcPr>
                  <w:tcW w:w="1137" w:type="dxa"/>
                  <w:vAlign w:val="center"/>
                </w:tcPr>
                <w:p w14:paraId="4DB22292">
                  <w:pPr>
                    <w:spacing w:line="240" w:lineRule="auto"/>
                    <w:jc w:val="center"/>
                    <w:rPr>
                      <w:rFonts w:ascii="宋体" w:hAnsi="宋体" w:eastAsia="宋体"/>
                      <w:bCs/>
                      <w:sz w:val="18"/>
                      <w:szCs w:val="22"/>
                    </w:rPr>
                  </w:pPr>
                  <w:r>
                    <w:rPr>
                      <w:rFonts w:ascii="宋体" w:hAnsi="宋体" w:eastAsia="宋体"/>
                      <w:bCs/>
                      <w:sz w:val="18"/>
                      <w:szCs w:val="22"/>
                    </w:rPr>
                    <w:t>贵宾病房</w:t>
                  </w:r>
                </w:p>
              </w:tc>
              <w:tc>
                <w:tcPr>
                  <w:tcW w:w="900" w:type="dxa"/>
                  <w:vAlign w:val="center"/>
                </w:tcPr>
                <w:p w14:paraId="45E521FE">
                  <w:pPr>
                    <w:spacing w:line="240" w:lineRule="auto"/>
                    <w:jc w:val="center"/>
                    <w:rPr>
                      <w:rFonts w:ascii="宋体" w:hAnsi="宋体" w:eastAsia="宋体"/>
                      <w:bCs/>
                      <w:sz w:val="18"/>
                      <w:szCs w:val="22"/>
                    </w:rPr>
                  </w:pPr>
                  <w:r>
                    <w:rPr>
                      <w:rFonts w:ascii="宋体" w:hAnsi="宋体" w:eastAsia="宋体"/>
                      <w:bCs/>
                      <w:sz w:val="18"/>
                      <w:szCs w:val="22"/>
                    </w:rPr>
                    <w:t>L/床·d</w:t>
                  </w:r>
                </w:p>
              </w:tc>
              <w:tc>
                <w:tcPr>
                  <w:tcW w:w="720" w:type="dxa"/>
                  <w:vAlign w:val="center"/>
                </w:tcPr>
                <w:p w14:paraId="0255D6C8">
                  <w:pPr>
                    <w:spacing w:line="240" w:lineRule="auto"/>
                    <w:jc w:val="center"/>
                    <w:rPr>
                      <w:rFonts w:ascii="宋体" w:hAnsi="宋体" w:eastAsia="宋体"/>
                      <w:bCs/>
                      <w:sz w:val="18"/>
                      <w:szCs w:val="22"/>
                    </w:rPr>
                  </w:pPr>
                  <w:r>
                    <w:rPr>
                      <w:rFonts w:ascii="宋体" w:hAnsi="宋体" w:eastAsia="宋体"/>
                      <w:bCs/>
                      <w:sz w:val="18"/>
                      <w:szCs w:val="22"/>
                    </w:rPr>
                    <w:t>400</w:t>
                  </w:r>
                  <w:r>
                    <w:rPr>
                      <w:rFonts w:hint="eastAsia" w:ascii="宋体" w:hAnsi="宋体" w:eastAsia="宋体"/>
                      <w:bCs/>
                      <w:sz w:val="18"/>
                      <w:szCs w:val="22"/>
                    </w:rPr>
                    <w:t>～</w:t>
                  </w:r>
                  <w:r>
                    <w:rPr>
                      <w:rFonts w:ascii="宋体" w:hAnsi="宋体" w:eastAsia="宋体"/>
                      <w:bCs/>
                      <w:sz w:val="18"/>
                      <w:szCs w:val="22"/>
                    </w:rPr>
                    <w:t>600</w:t>
                  </w:r>
                </w:p>
              </w:tc>
              <w:tc>
                <w:tcPr>
                  <w:tcW w:w="779" w:type="dxa"/>
                  <w:vAlign w:val="center"/>
                </w:tcPr>
                <w:p w14:paraId="321D7167">
                  <w:pPr>
                    <w:spacing w:line="240" w:lineRule="auto"/>
                    <w:jc w:val="center"/>
                    <w:rPr>
                      <w:rFonts w:ascii="宋体" w:hAnsi="宋体" w:eastAsia="宋体"/>
                      <w:bCs/>
                      <w:sz w:val="18"/>
                      <w:szCs w:val="22"/>
                    </w:rPr>
                  </w:pPr>
                  <w:r>
                    <w:rPr>
                      <w:rFonts w:ascii="宋体" w:hAnsi="宋体" w:eastAsia="宋体"/>
                      <w:bCs/>
                      <w:sz w:val="18"/>
                      <w:szCs w:val="22"/>
                    </w:rPr>
                    <w:t>2.0</w:t>
                  </w:r>
                </w:p>
              </w:tc>
            </w:tr>
            <w:tr w14:paraId="4857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085431F8">
                  <w:pPr>
                    <w:spacing w:line="240" w:lineRule="auto"/>
                    <w:jc w:val="center"/>
                    <w:rPr>
                      <w:rFonts w:ascii="宋体" w:hAnsi="宋体" w:eastAsia="宋体"/>
                      <w:bCs/>
                      <w:sz w:val="18"/>
                      <w:szCs w:val="22"/>
                    </w:rPr>
                  </w:pPr>
                  <w:r>
                    <w:rPr>
                      <w:rFonts w:ascii="宋体" w:hAnsi="宋体" w:eastAsia="宋体"/>
                      <w:bCs/>
                      <w:sz w:val="18"/>
                      <w:szCs w:val="22"/>
                    </w:rPr>
                    <w:t>门</w:t>
                  </w:r>
                  <w:r>
                    <w:rPr>
                      <w:rFonts w:hint="eastAsia" w:ascii="宋体" w:hAnsi="宋体" w:eastAsia="宋体"/>
                      <w:bCs/>
                      <w:sz w:val="18"/>
                      <w:szCs w:val="22"/>
                    </w:rPr>
                    <w:t>、</w:t>
                  </w:r>
                  <w:r>
                    <w:rPr>
                      <w:rFonts w:ascii="宋体" w:hAnsi="宋体" w:eastAsia="宋体"/>
                      <w:bCs/>
                      <w:sz w:val="18"/>
                      <w:szCs w:val="22"/>
                    </w:rPr>
                    <w:t>急诊患者</w:t>
                  </w:r>
                </w:p>
              </w:tc>
              <w:tc>
                <w:tcPr>
                  <w:tcW w:w="900" w:type="dxa"/>
                  <w:vAlign w:val="center"/>
                </w:tcPr>
                <w:p w14:paraId="210DBA3B">
                  <w:pPr>
                    <w:spacing w:line="240" w:lineRule="auto"/>
                    <w:jc w:val="center"/>
                    <w:rPr>
                      <w:rFonts w:ascii="宋体" w:hAnsi="宋体" w:eastAsia="宋体"/>
                      <w:bCs/>
                      <w:sz w:val="18"/>
                      <w:szCs w:val="22"/>
                    </w:rPr>
                  </w:pPr>
                  <w:r>
                    <w:rPr>
                      <w:rFonts w:ascii="宋体" w:hAnsi="宋体" w:eastAsia="宋体"/>
                      <w:bCs/>
                      <w:sz w:val="18"/>
                      <w:szCs w:val="22"/>
                    </w:rPr>
                    <w:t>L/人·次</w:t>
                  </w:r>
                </w:p>
              </w:tc>
              <w:tc>
                <w:tcPr>
                  <w:tcW w:w="720" w:type="dxa"/>
                  <w:vAlign w:val="center"/>
                </w:tcPr>
                <w:p w14:paraId="26AE39AF">
                  <w:pPr>
                    <w:spacing w:line="240" w:lineRule="auto"/>
                    <w:jc w:val="center"/>
                    <w:rPr>
                      <w:rFonts w:ascii="宋体" w:hAnsi="宋体" w:eastAsia="宋体"/>
                      <w:bCs/>
                      <w:sz w:val="18"/>
                      <w:szCs w:val="22"/>
                    </w:rPr>
                  </w:pPr>
                  <w:r>
                    <w:rPr>
                      <w:rFonts w:ascii="宋体" w:hAnsi="宋体" w:eastAsia="宋体"/>
                      <w:bCs/>
                      <w:sz w:val="18"/>
                      <w:szCs w:val="22"/>
                    </w:rPr>
                    <w:t>10</w:t>
                  </w:r>
                  <w:r>
                    <w:rPr>
                      <w:rFonts w:hint="eastAsia" w:ascii="宋体" w:hAnsi="宋体" w:eastAsia="宋体"/>
                      <w:bCs/>
                      <w:sz w:val="18"/>
                      <w:szCs w:val="22"/>
                    </w:rPr>
                    <w:t>～</w:t>
                  </w:r>
                  <w:r>
                    <w:rPr>
                      <w:rFonts w:ascii="宋体" w:hAnsi="宋体" w:eastAsia="宋体"/>
                      <w:bCs/>
                      <w:sz w:val="18"/>
                      <w:szCs w:val="22"/>
                    </w:rPr>
                    <w:t>15</w:t>
                  </w:r>
                </w:p>
              </w:tc>
              <w:tc>
                <w:tcPr>
                  <w:tcW w:w="779" w:type="dxa"/>
                  <w:vAlign w:val="center"/>
                </w:tcPr>
                <w:p w14:paraId="04E7B6A9">
                  <w:pPr>
                    <w:spacing w:line="240" w:lineRule="auto"/>
                    <w:jc w:val="center"/>
                    <w:rPr>
                      <w:rFonts w:ascii="宋体" w:hAnsi="宋体" w:eastAsia="宋体"/>
                      <w:bCs/>
                      <w:sz w:val="18"/>
                      <w:szCs w:val="22"/>
                    </w:rPr>
                  </w:pPr>
                  <w:r>
                    <w:rPr>
                      <w:rFonts w:ascii="宋体" w:hAnsi="宋体" w:eastAsia="宋体"/>
                      <w:bCs/>
                      <w:sz w:val="18"/>
                      <w:szCs w:val="22"/>
                    </w:rPr>
                    <w:t>2.5</w:t>
                  </w:r>
                </w:p>
              </w:tc>
            </w:tr>
            <w:tr w14:paraId="1E27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50AD2203">
                  <w:pPr>
                    <w:spacing w:line="240" w:lineRule="auto"/>
                    <w:jc w:val="center"/>
                    <w:rPr>
                      <w:rFonts w:ascii="宋体" w:hAnsi="宋体" w:eastAsia="宋体"/>
                      <w:bCs/>
                      <w:sz w:val="18"/>
                      <w:szCs w:val="22"/>
                    </w:rPr>
                  </w:pPr>
                  <w:r>
                    <w:rPr>
                      <w:rFonts w:ascii="宋体" w:hAnsi="宋体" w:eastAsia="宋体"/>
                      <w:bCs/>
                      <w:sz w:val="18"/>
                      <w:szCs w:val="22"/>
                    </w:rPr>
                    <w:t>医务人员</w:t>
                  </w:r>
                </w:p>
              </w:tc>
              <w:tc>
                <w:tcPr>
                  <w:tcW w:w="900" w:type="dxa"/>
                  <w:vAlign w:val="center"/>
                </w:tcPr>
                <w:p w14:paraId="1CFEB59E">
                  <w:pPr>
                    <w:spacing w:line="240" w:lineRule="auto"/>
                    <w:jc w:val="center"/>
                    <w:rPr>
                      <w:rFonts w:ascii="宋体" w:hAnsi="宋体" w:eastAsia="宋体"/>
                      <w:bCs/>
                      <w:sz w:val="18"/>
                      <w:szCs w:val="22"/>
                    </w:rPr>
                  </w:pPr>
                  <w:r>
                    <w:rPr>
                      <w:rFonts w:ascii="宋体" w:hAnsi="宋体" w:eastAsia="宋体"/>
                      <w:bCs/>
                      <w:sz w:val="18"/>
                      <w:szCs w:val="22"/>
                    </w:rPr>
                    <w:t>L/人·班</w:t>
                  </w:r>
                </w:p>
              </w:tc>
              <w:tc>
                <w:tcPr>
                  <w:tcW w:w="720" w:type="dxa"/>
                  <w:vAlign w:val="center"/>
                </w:tcPr>
                <w:p w14:paraId="728A30C8">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250</w:t>
                  </w:r>
                </w:p>
              </w:tc>
              <w:tc>
                <w:tcPr>
                  <w:tcW w:w="779" w:type="dxa"/>
                  <w:vAlign w:val="center"/>
                </w:tcPr>
                <w:p w14:paraId="3A7E6650">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3F98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794C1D31">
                  <w:pPr>
                    <w:spacing w:line="240" w:lineRule="auto"/>
                    <w:jc w:val="center"/>
                    <w:rPr>
                      <w:rFonts w:ascii="宋体" w:hAnsi="宋体" w:eastAsia="宋体"/>
                      <w:bCs/>
                      <w:sz w:val="18"/>
                      <w:szCs w:val="22"/>
                    </w:rPr>
                  </w:pPr>
                  <w:r>
                    <w:rPr>
                      <w:rFonts w:ascii="宋体" w:hAnsi="宋体" w:eastAsia="宋体"/>
                      <w:bCs/>
                      <w:sz w:val="18"/>
                      <w:szCs w:val="22"/>
                    </w:rPr>
                    <w:t>医院后勤职工</w:t>
                  </w:r>
                </w:p>
              </w:tc>
              <w:tc>
                <w:tcPr>
                  <w:tcW w:w="900" w:type="dxa"/>
                  <w:vAlign w:val="center"/>
                </w:tcPr>
                <w:p w14:paraId="7808EAE4">
                  <w:pPr>
                    <w:spacing w:line="240" w:lineRule="auto"/>
                    <w:jc w:val="center"/>
                    <w:rPr>
                      <w:rFonts w:ascii="宋体" w:hAnsi="宋体" w:eastAsia="宋体"/>
                      <w:bCs/>
                      <w:sz w:val="18"/>
                      <w:szCs w:val="22"/>
                    </w:rPr>
                  </w:pPr>
                  <w:r>
                    <w:rPr>
                      <w:rFonts w:ascii="宋体" w:hAnsi="宋体" w:eastAsia="宋体"/>
                      <w:bCs/>
                      <w:sz w:val="18"/>
                      <w:szCs w:val="22"/>
                    </w:rPr>
                    <w:t>L/人·班</w:t>
                  </w:r>
                </w:p>
              </w:tc>
              <w:tc>
                <w:tcPr>
                  <w:tcW w:w="720" w:type="dxa"/>
                  <w:vAlign w:val="center"/>
                </w:tcPr>
                <w:p w14:paraId="0928240B">
                  <w:pPr>
                    <w:spacing w:line="240" w:lineRule="auto"/>
                    <w:jc w:val="center"/>
                    <w:rPr>
                      <w:rFonts w:ascii="宋体" w:hAnsi="宋体" w:eastAsia="宋体"/>
                      <w:bCs/>
                      <w:sz w:val="18"/>
                      <w:szCs w:val="22"/>
                    </w:rPr>
                  </w:pPr>
                  <w:r>
                    <w:rPr>
                      <w:rFonts w:ascii="宋体" w:hAnsi="宋体" w:eastAsia="宋体"/>
                      <w:bCs/>
                      <w:sz w:val="18"/>
                      <w:szCs w:val="22"/>
                    </w:rPr>
                    <w:t>80</w:t>
                  </w:r>
                  <w:r>
                    <w:rPr>
                      <w:rFonts w:hint="eastAsia" w:ascii="宋体" w:hAnsi="宋体" w:eastAsia="宋体"/>
                      <w:bCs/>
                      <w:sz w:val="18"/>
                      <w:szCs w:val="22"/>
                    </w:rPr>
                    <w:t>～</w:t>
                  </w:r>
                  <w:r>
                    <w:rPr>
                      <w:rFonts w:ascii="宋体" w:hAnsi="宋体" w:eastAsia="宋体"/>
                      <w:bCs/>
                      <w:sz w:val="18"/>
                      <w:szCs w:val="22"/>
                    </w:rPr>
                    <w:t>100</w:t>
                  </w:r>
                </w:p>
              </w:tc>
              <w:tc>
                <w:tcPr>
                  <w:tcW w:w="779" w:type="dxa"/>
                  <w:vAlign w:val="center"/>
                </w:tcPr>
                <w:p w14:paraId="63FB6D2C">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17DD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473D2E51">
                  <w:pPr>
                    <w:spacing w:line="240" w:lineRule="auto"/>
                    <w:jc w:val="center"/>
                    <w:rPr>
                      <w:rFonts w:ascii="宋体" w:hAnsi="宋体" w:eastAsia="宋体"/>
                      <w:bCs/>
                      <w:sz w:val="18"/>
                      <w:szCs w:val="22"/>
                    </w:rPr>
                  </w:pPr>
                  <w:r>
                    <w:rPr>
                      <w:rFonts w:ascii="宋体" w:hAnsi="宋体" w:eastAsia="宋体"/>
                      <w:bCs/>
                      <w:sz w:val="18"/>
                      <w:szCs w:val="22"/>
                    </w:rPr>
                    <w:t>食堂</w:t>
                  </w:r>
                </w:p>
              </w:tc>
              <w:tc>
                <w:tcPr>
                  <w:tcW w:w="900" w:type="dxa"/>
                  <w:vAlign w:val="center"/>
                </w:tcPr>
                <w:p w14:paraId="1126A628">
                  <w:pPr>
                    <w:spacing w:line="240" w:lineRule="auto"/>
                    <w:jc w:val="center"/>
                    <w:rPr>
                      <w:rFonts w:ascii="宋体" w:hAnsi="宋体" w:eastAsia="宋体"/>
                      <w:bCs/>
                      <w:sz w:val="18"/>
                      <w:szCs w:val="22"/>
                    </w:rPr>
                  </w:pPr>
                  <w:r>
                    <w:rPr>
                      <w:rFonts w:ascii="宋体" w:hAnsi="宋体" w:eastAsia="宋体"/>
                      <w:bCs/>
                      <w:sz w:val="18"/>
                      <w:szCs w:val="22"/>
                    </w:rPr>
                    <w:t>L/人·次</w:t>
                  </w:r>
                </w:p>
              </w:tc>
              <w:tc>
                <w:tcPr>
                  <w:tcW w:w="720" w:type="dxa"/>
                  <w:vAlign w:val="center"/>
                </w:tcPr>
                <w:p w14:paraId="12C10003">
                  <w:pPr>
                    <w:spacing w:line="240" w:lineRule="auto"/>
                    <w:jc w:val="center"/>
                    <w:rPr>
                      <w:rFonts w:ascii="宋体" w:hAnsi="宋体" w:eastAsia="宋体"/>
                      <w:bCs/>
                      <w:sz w:val="18"/>
                      <w:szCs w:val="22"/>
                    </w:rPr>
                  </w:pPr>
                  <w:r>
                    <w:rPr>
                      <w:rFonts w:hint="eastAsia" w:ascii="宋体" w:hAnsi="宋体" w:eastAsia="宋体"/>
                      <w:bCs/>
                      <w:sz w:val="18"/>
                      <w:szCs w:val="22"/>
                    </w:rPr>
                    <w:t>20～25</w:t>
                  </w:r>
                </w:p>
              </w:tc>
              <w:tc>
                <w:tcPr>
                  <w:tcW w:w="779" w:type="dxa"/>
                  <w:vAlign w:val="center"/>
                </w:tcPr>
                <w:p w14:paraId="112A1E67">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1.5</w:t>
                  </w:r>
                </w:p>
              </w:tc>
            </w:tr>
            <w:tr w14:paraId="45C5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 w:hRule="atLeast"/>
                <w:jc w:val="center"/>
              </w:trPr>
              <w:tc>
                <w:tcPr>
                  <w:tcW w:w="1492" w:type="dxa"/>
                  <w:gridSpan w:val="2"/>
                  <w:vAlign w:val="center"/>
                </w:tcPr>
                <w:p w14:paraId="1599CBA4">
                  <w:pPr>
                    <w:spacing w:line="240" w:lineRule="auto"/>
                    <w:jc w:val="center"/>
                    <w:rPr>
                      <w:rFonts w:ascii="宋体" w:hAnsi="宋体" w:eastAsia="宋体"/>
                      <w:bCs/>
                      <w:sz w:val="18"/>
                      <w:szCs w:val="22"/>
                    </w:rPr>
                  </w:pPr>
                  <w:r>
                    <w:rPr>
                      <w:rFonts w:ascii="宋体" w:hAnsi="宋体" w:eastAsia="宋体"/>
                      <w:bCs/>
                      <w:sz w:val="18"/>
                      <w:szCs w:val="22"/>
                    </w:rPr>
                    <w:t>洗衣</w:t>
                  </w:r>
                </w:p>
              </w:tc>
              <w:tc>
                <w:tcPr>
                  <w:tcW w:w="900" w:type="dxa"/>
                  <w:vAlign w:val="center"/>
                </w:tcPr>
                <w:p w14:paraId="48261E55">
                  <w:pPr>
                    <w:spacing w:line="240" w:lineRule="auto"/>
                    <w:jc w:val="center"/>
                    <w:rPr>
                      <w:rFonts w:ascii="宋体" w:hAnsi="宋体" w:eastAsia="宋体"/>
                      <w:bCs/>
                      <w:sz w:val="18"/>
                      <w:szCs w:val="22"/>
                    </w:rPr>
                  </w:pPr>
                  <w:r>
                    <w:rPr>
                      <w:rFonts w:ascii="宋体" w:hAnsi="宋体" w:eastAsia="宋体"/>
                      <w:bCs/>
                      <w:sz w:val="18"/>
                      <w:szCs w:val="22"/>
                    </w:rPr>
                    <w:t>L/kg</w:t>
                  </w:r>
                </w:p>
              </w:tc>
              <w:tc>
                <w:tcPr>
                  <w:tcW w:w="720" w:type="dxa"/>
                  <w:vAlign w:val="center"/>
                </w:tcPr>
                <w:p w14:paraId="79666EDA">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w:t>
                  </w:r>
                  <w:r>
                    <w:rPr>
                      <w:rFonts w:ascii="宋体" w:hAnsi="宋体" w:eastAsia="宋体"/>
                      <w:bCs/>
                      <w:sz w:val="18"/>
                      <w:szCs w:val="22"/>
                    </w:rPr>
                    <w:t>80</w:t>
                  </w:r>
                </w:p>
              </w:tc>
              <w:tc>
                <w:tcPr>
                  <w:tcW w:w="779" w:type="dxa"/>
                  <w:vAlign w:val="center"/>
                </w:tcPr>
                <w:p w14:paraId="69B7A870">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1.0</w:t>
                  </w:r>
                </w:p>
              </w:tc>
            </w:tr>
          </w:tbl>
          <w:p w14:paraId="5022558D">
            <w:pPr>
              <w:spacing w:line="240" w:lineRule="auto"/>
              <w:ind w:firstLine="360" w:firstLineChars="200"/>
              <w:jc w:val="left"/>
              <w:rPr>
                <w:rFonts w:ascii="宋体" w:hAnsi="宋体" w:eastAsia="宋体" w:cs="宋体"/>
                <w:kern w:val="0"/>
                <w:sz w:val="18"/>
              </w:rPr>
            </w:pPr>
            <w:r>
              <w:rPr>
                <w:rFonts w:ascii="宋体" w:hAnsi="宋体" w:eastAsia="宋体" w:cs="宋体"/>
                <w:kern w:val="0"/>
                <w:sz w:val="18"/>
              </w:rPr>
              <w:t>注：1 医务人员的用水量包括手术室、中心供应等医院常规医疗用水；</w:t>
            </w:r>
          </w:p>
          <w:p w14:paraId="5038EF8B">
            <w:pPr>
              <w:spacing w:line="240" w:lineRule="auto"/>
              <w:ind w:firstLine="360" w:firstLineChars="200"/>
              <w:jc w:val="left"/>
            </w:pPr>
            <w:r>
              <w:rPr>
                <w:rFonts w:ascii="宋体" w:hAnsi="宋体" w:eastAsia="宋体" w:cs="宋体"/>
                <w:kern w:val="0"/>
                <w:sz w:val="18"/>
              </w:rPr>
              <w:t>2 道路和绿化用水应根据当地气候条件确定。</w:t>
            </w:r>
          </w:p>
        </w:tc>
      </w:tr>
      <w:tr w14:paraId="44A5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C64B102"/>
        </w:tc>
        <w:tc>
          <w:tcPr>
            <w:tcW w:w="4261" w:type="dxa"/>
          </w:tcPr>
          <w:p w14:paraId="4DE77CA2">
            <w:r>
              <w:rPr>
                <w:rFonts w:hint="eastAsia" w:ascii="宋体" w:hAnsi="宋体" w:eastAsia="宋体" w:cs="宋体"/>
                <w:kern w:val="0"/>
                <w:u w:val="single"/>
              </w:rPr>
              <w:t>6.2.2A “平疫结合”区域及建筑的生活给水用水定额应符合6.2.2的规定，疫情期间应满足疫情期间的要求，疫情期间的医务人员的用水量应是平时的1.2至1.3倍，患者的用水量应是平时的1.1至1.2倍。</w:t>
            </w:r>
          </w:p>
        </w:tc>
      </w:tr>
      <w:tr w14:paraId="68DDE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E57637F">
            <w:pPr>
              <w:rPr>
                <w:rFonts w:ascii="黑体" w:hAnsi="黑体" w:eastAsia="黑体" w:cs="宋体"/>
                <w:b/>
                <w:kern w:val="0"/>
              </w:rPr>
            </w:pPr>
            <w:r>
              <w:rPr>
                <w:rFonts w:ascii="黑体" w:hAnsi="黑体" w:eastAsia="黑体" w:cs="宋体"/>
                <w:b/>
                <w:bCs/>
                <w:kern w:val="0"/>
              </w:rPr>
              <w:t>6</w:t>
            </w:r>
            <w:r>
              <w:rPr>
                <w:rFonts w:hint="eastAsia" w:ascii="黑体" w:hAnsi="黑体" w:eastAsia="黑体" w:cs="宋体"/>
                <w:b/>
                <w:bCs/>
                <w:kern w:val="0"/>
              </w:rPr>
              <w:t>.</w:t>
            </w:r>
            <w:r>
              <w:rPr>
                <w:rFonts w:ascii="黑体" w:hAnsi="黑体" w:eastAsia="黑体" w:cs="宋体"/>
                <w:b/>
                <w:bCs/>
                <w:kern w:val="0"/>
              </w:rPr>
              <w:t>2</w:t>
            </w:r>
            <w:r>
              <w:rPr>
                <w:rFonts w:hint="eastAsia" w:ascii="黑体" w:hAnsi="黑体" w:eastAsia="黑体" w:cs="宋体"/>
                <w:b/>
                <w:bCs/>
                <w:kern w:val="0"/>
              </w:rPr>
              <w:t>.</w:t>
            </w:r>
            <w:r>
              <w:rPr>
                <w:rFonts w:ascii="黑体" w:hAnsi="黑体" w:eastAsia="黑体" w:cs="宋体"/>
                <w:b/>
                <w:bCs/>
                <w:kern w:val="0"/>
              </w:rPr>
              <w:t>5</w:t>
            </w:r>
            <w:r>
              <w:rPr>
                <w:rFonts w:hint="eastAsia" w:ascii="黑体" w:hAnsi="黑体" w:eastAsia="黑体" w:cs="宋体"/>
                <w:b/>
                <w:bCs/>
                <w:kern w:val="0"/>
              </w:rPr>
              <w:t xml:space="preserve"> </w:t>
            </w:r>
            <w:r>
              <w:rPr>
                <w:rFonts w:ascii="黑体" w:hAnsi="黑体" w:eastAsia="黑体" w:cs="宋体"/>
                <w:b/>
                <w:kern w:val="0"/>
              </w:rPr>
              <w:t>下列场所的用水点应采用非手动开关，并应采取防止污水外溅的措施：</w:t>
            </w:r>
          </w:p>
          <w:p w14:paraId="4990ADF7">
            <w:pPr>
              <w:ind w:firstLine="482" w:firstLineChars="200"/>
              <w:rPr>
                <w:rFonts w:ascii="黑体" w:hAnsi="黑体" w:eastAsia="黑体" w:cs="宋体"/>
                <w:b/>
                <w:kern w:val="0"/>
              </w:rPr>
            </w:pPr>
            <w:r>
              <w:rPr>
                <w:rFonts w:ascii="黑体" w:hAnsi="黑体" w:eastAsia="黑体" w:cs="宋体"/>
                <w:b/>
                <w:kern w:val="0"/>
              </w:rPr>
              <w:t>1 公共卫生间的洗手盆、小便斗、大便器；</w:t>
            </w:r>
          </w:p>
          <w:p w14:paraId="4E6ECABA">
            <w:pPr>
              <w:ind w:firstLine="482" w:firstLineChars="200"/>
              <w:rPr>
                <w:rFonts w:ascii="黑体" w:hAnsi="黑体" w:eastAsia="黑体" w:cs="宋体"/>
                <w:b/>
                <w:kern w:val="0"/>
              </w:rPr>
            </w:pPr>
            <w:r>
              <w:rPr>
                <w:rFonts w:ascii="黑体" w:hAnsi="黑体" w:eastAsia="黑体" w:cs="宋体"/>
                <w:b/>
                <w:kern w:val="0"/>
              </w:rPr>
              <w:t>2 护士站、治疗室、中心（消毒）供应室、监护病房等房间的洗手盆</w:t>
            </w:r>
            <w:r>
              <w:rPr>
                <w:rFonts w:hint="eastAsia" w:ascii="黑体" w:hAnsi="黑体" w:eastAsia="黑体" w:cs="宋体"/>
                <w:b/>
                <w:kern w:val="0"/>
              </w:rPr>
              <w:t>；</w:t>
            </w:r>
          </w:p>
          <w:p w14:paraId="0B640DED">
            <w:pPr>
              <w:ind w:firstLine="482" w:firstLineChars="200"/>
              <w:rPr>
                <w:rFonts w:ascii="黑体" w:hAnsi="黑体" w:eastAsia="黑体" w:cs="宋体"/>
                <w:b/>
                <w:kern w:val="0"/>
              </w:rPr>
            </w:pPr>
            <w:r>
              <w:rPr>
                <w:rFonts w:ascii="黑体" w:hAnsi="黑体" w:eastAsia="黑体" w:cs="宋体"/>
                <w:b/>
                <w:kern w:val="0"/>
              </w:rPr>
              <w:t>3 产房、手术刷手池、无菌室、血液病房和烧伤病房等房间的洗手盆；</w:t>
            </w:r>
          </w:p>
          <w:p w14:paraId="1876F419">
            <w:pPr>
              <w:ind w:firstLine="482" w:firstLineChars="200"/>
              <w:rPr>
                <w:rFonts w:ascii="黑体" w:hAnsi="黑体" w:eastAsia="黑体" w:cs="宋体"/>
                <w:b/>
                <w:kern w:val="0"/>
              </w:rPr>
            </w:pPr>
            <w:r>
              <w:rPr>
                <w:rFonts w:ascii="黑体" w:hAnsi="黑体" w:eastAsia="黑体" w:cs="宋体"/>
                <w:b/>
                <w:kern w:val="0"/>
              </w:rPr>
              <w:t>4 诊室、检验科等房间的洗手盆；</w:t>
            </w:r>
          </w:p>
          <w:p w14:paraId="267F22FF">
            <w:pPr>
              <w:ind w:firstLine="482" w:firstLineChars="200"/>
            </w:pPr>
            <w:r>
              <w:rPr>
                <w:rFonts w:ascii="黑体" w:hAnsi="黑体" w:eastAsia="黑体" w:cs="宋体"/>
                <w:b/>
                <w:kern w:val="0"/>
              </w:rPr>
              <w:t>5 有无菌要求或防止院内感染场所的卫生器具</w:t>
            </w:r>
            <w:r>
              <w:rPr>
                <w:rFonts w:hint="eastAsia" w:ascii="黑体" w:hAnsi="黑体" w:eastAsia="黑体" w:cs="宋体"/>
                <w:b/>
                <w:kern w:val="0"/>
                <w:u w:val="single"/>
                <w:bdr w:val="single" w:color="auto" w:sz="4" w:space="0"/>
              </w:rPr>
              <w:t>。</w:t>
            </w:r>
          </w:p>
        </w:tc>
        <w:tc>
          <w:tcPr>
            <w:tcW w:w="4261" w:type="dxa"/>
          </w:tcPr>
          <w:p w14:paraId="766E6826">
            <w:pPr>
              <w:rPr>
                <w:rFonts w:ascii="黑体" w:hAnsi="黑体" w:eastAsia="黑体" w:cs="宋体"/>
                <w:b/>
                <w:kern w:val="0"/>
              </w:rPr>
            </w:pPr>
            <w:r>
              <w:rPr>
                <w:rFonts w:ascii="黑体" w:hAnsi="黑体" w:eastAsia="黑体" w:cs="宋体"/>
                <w:b/>
                <w:bCs/>
                <w:kern w:val="0"/>
              </w:rPr>
              <w:t>6</w:t>
            </w:r>
            <w:r>
              <w:rPr>
                <w:rFonts w:hint="eastAsia" w:ascii="黑体" w:hAnsi="黑体" w:eastAsia="黑体" w:cs="宋体"/>
                <w:b/>
                <w:bCs/>
                <w:kern w:val="0"/>
              </w:rPr>
              <w:t>.</w:t>
            </w:r>
            <w:r>
              <w:rPr>
                <w:rFonts w:ascii="黑体" w:hAnsi="黑体" w:eastAsia="黑体" w:cs="宋体"/>
                <w:b/>
                <w:bCs/>
                <w:kern w:val="0"/>
              </w:rPr>
              <w:t>2</w:t>
            </w:r>
            <w:r>
              <w:rPr>
                <w:rFonts w:hint="eastAsia" w:ascii="黑体" w:hAnsi="黑体" w:eastAsia="黑体" w:cs="宋体"/>
                <w:b/>
                <w:bCs/>
                <w:kern w:val="0"/>
              </w:rPr>
              <w:t>.</w:t>
            </w:r>
            <w:r>
              <w:rPr>
                <w:rFonts w:ascii="黑体" w:hAnsi="黑体" w:eastAsia="黑体" w:cs="宋体"/>
                <w:b/>
                <w:bCs/>
                <w:kern w:val="0"/>
              </w:rPr>
              <w:t>5</w:t>
            </w:r>
            <w:r>
              <w:rPr>
                <w:rFonts w:hint="eastAsia" w:ascii="黑体" w:hAnsi="黑体" w:eastAsia="黑体" w:cs="宋体"/>
                <w:b/>
                <w:bCs/>
                <w:kern w:val="0"/>
              </w:rPr>
              <w:t xml:space="preserve"> </w:t>
            </w:r>
            <w:r>
              <w:rPr>
                <w:rFonts w:ascii="黑体" w:hAnsi="黑体" w:eastAsia="黑体" w:cs="宋体"/>
                <w:b/>
                <w:kern w:val="0"/>
              </w:rPr>
              <w:t>下列场所的用水点应采用非手动开关，并应采取防止污水外溅的措施：</w:t>
            </w:r>
          </w:p>
          <w:p w14:paraId="049E8001">
            <w:pPr>
              <w:ind w:firstLine="482" w:firstLineChars="200"/>
              <w:rPr>
                <w:rFonts w:ascii="黑体" w:hAnsi="黑体" w:eastAsia="黑体" w:cs="宋体"/>
                <w:b/>
                <w:kern w:val="0"/>
              </w:rPr>
            </w:pPr>
            <w:r>
              <w:rPr>
                <w:rFonts w:ascii="黑体" w:hAnsi="黑体" w:eastAsia="黑体" w:cs="宋体"/>
                <w:b/>
                <w:kern w:val="0"/>
              </w:rPr>
              <w:t>1 公共卫生间</w:t>
            </w:r>
            <w:r>
              <w:rPr>
                <w:rFonts w:hint="eastAsia" w:ascii="黑体" w:hAnsi="黑体" w:eastAsia="黑体" w:cs="宋体"/>
                <w:b/>
                <w:kern w:val="0"/>
                <w:u w:val="single"/>
              </w:rPr>
              <w:t>和平疫结合区域</w:t>
            </w:r>
            <w:r>
              <w:rPr>
                <w:rFonts w:ascii="黑体" w:hAnsi="黑体" w:eastAsia="黑体" w:cs="宋体"/>
                <w:b/>
                <w:kern w:val="0"/>
              </w:rPr>
              <w:t>的洗手盆、小便斗、大便器；</w:t>
            </w:r>
          </w:p>
          <w:p w14:paraId="4FA16620">
            <w:pPr>
              <w:ind w:firstLine="482" w:firstLineChars="200"/>
              <w:rPr>
                <w:rFonts w:ascii="黑体" w:hAnsi="黑体" w:eastAsia="黑体" w:cs="宋体"/>
                <w:b/>
                <w:kern w:val="0"/>
              </w:rPr>
            </w:pPr>
            <w:r>
              <w:rPr>
                <w:rFonts w:ascii="黑体" w:hAnsi="黑体" w:eastAsia="黑体" w:cs="宋体"/>
                <w:b/>
                <w:kern w:val="0"/>
              </w:rPr>
              <w:t>2 护士站、治疗室、中心（消毒）供应室、监护病房等房间的洗手盆</w:t>
            </w:r>
            <w:r>
              <w:rPr>
                <w:rFonts w:hint="eastAsia" w:ascii="黑体" w:hAnsi="黑体" w:eastAsia="黑体" w:cs="宋体"/>
                <w:b/>
                <w:kern w:val="0"/>
              </w:rPr>
              <w:t>；</w:t>
            </w:r>
          </w:p>
          <w:p w14:paraId="7DD7C990">
            <w:pPr>
              <w:ind w:firstLine="482" w:firstLineChars="200"/>
              <w:rPr>
                <w:rFonts w:ascii="黑体" w:hAnsi="黑体" w:eastAsia="黑体" w:cs="宋体"/>
                <w:b/>
                <w:kern w:val="0"/>
              </w:rPr>
            </w:pPr>
            <w:r>
              <w:rPr>
                <w:rFonts w:ascii="黑体" w:hAnsi="黑体" w:eastAsia="黑体" w:cs="宋体"/>
                <w:b/>
                <w:kern w:val="0"/>
              </w:rPr>
              <w:t>3 产房、手术刷手池、无菌室、血液病房和烧伤病房等房间的洗手盆；</w:t>
            </w:r>
          </w:p>
          <w:p w14:paraId="5A5CA7C0">
            <w:pPr>
              <w:ind w:firstLine="482" w:firstLineChars="200"/>
              <w:rPr>
                <w:rFonts w:ascii="黑体" w:hAnsi="黑体" w:eastAsia="黑体" w:cs="宋体"/>
                <w:b/>
                <w:kern w:val="0"/>
              </w:rPr>
            </w:pPr>
            <w:r>
              <w:rPr>
                <w:rFonts w:ascii="黑体" w:hAnsi="黑体" w:eastAsia="黑体" w:cs="宋体"/>
                <w:b/>
                <w:kern w:val="0"/>
              </w:rPr>
              <w:t>4 诊室、检验科等房间的洗手盆；</w:t>
            </w:r>
          </w:p>
          <w:p w14:paraId="2F9C5621">
            <w:pPr>
              <w:ind w:firstLine="482" w:firstLineChars="200"/>
              <w:rPr>
                <w:rFonts w:ascii="黑体" w:hAnsi="黑体" w:eastAsia="黑体" w:cs="宋体"/>
                <w:b/>
                <w:kern w:val="0"/>
              </w:rPr>
            </w:pPr>
            <w:r>
              <w:rPr>
                <w:rFonts w:ascii="黑体" w:hAnsi="黑体" w:eastAsia="黑体" w:cs="宋体"/>
                <w:b/>
                <w:kern w:val="0"/>
              </w:rPr>
              <w:t>5 有无菌要求或防止院内感染场所的卫生器具</w:t>
            </w:r>
            <w:r>
              <w:rPr>
                <w:rFonts w:hint="eastAsia" w:ascii="黑体" w:hAnsi="黑体" w:eastAsia="黑体" w:cs="宋体"/>
                <w:b/>
                <w:kern w:val="0"/>
                <w:u w:val="single"/>
              </w:rPr>
              <w:t>；</w:t>
            </w:r>
          </w:p>
          <w:p w14:paraId="1BA1009D">
            <w:pPr>
              <w:ind w:firstLine="482" w:firstLineChars="200"/>
              <w:rPr>
                <w:rFonts w:ascii="黑体" w:hAnsi="黑体" w:eastAsia="黑体" w:cs="宋体"/>
                <w:b/>
                <w:kern w:val="0"/>
                <w:u w:val="single"/>
              </w:rPr>
            </w:pPr>
            <w:r>
              <w:rPr>
                <w:rFonts w:hint="eastAsia" w:ascii="黑体" w:hAnsi="黑体" w:eastAsia="黑体" w:cs="宋体"/>
                <w:b/>
                <w:kern w:val="0"/>
                <w:u w:val="single"/>
              </w:rPr>
              <w:t>6 病房等非交叉感染场所的水龙头等用水器具可采用接触式开关，水龙头宜单柄水龙头，但不应采用充气式。</w:t>
            </w:r>
          </w:p>
          <w:p w14:paraId="0AA14B99">
            <w:pPr>
              <w:ind w:firstLine="482" w:firstLineChars="200"/>
            </w:pPr>
            <w:r>
              <w:rPr>
                <w:rFonts w:hint="eastAsia" w:ascii="黑体" w:hAnsi="黑体" w:eastAsia="黑体" w:cs="宋体"/>
                <w:b/>
                <w:kern w:val="0"/>
                <w:u w:val="single"/>
              </w:rPr>
              <w:t>7 平疫结合区域卫生器具的选择应具有防喷溅和防粘结的功能、材料应耐酸腐蚀、且不应采用具备吸附功能的材料。</w:t>
            </w:r>
          </w:p>
        </w:tc>
      </w:tr>
      <w:tr w14:paraId="0B41F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41183CD">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Cs/>
                <w:kern w:val="0"/>
              </w:rPr>
              <w:t>.</w:t>
            </w:r>
            <w:r>
              <w:rPr>
                <w:rFonts w:ascii="宋体" w:hAnsi="宋体" w:eastAsia="宋体" w:cs="宋体"/>
                <w:bCs/>
                <w:kern w:val="0"/>
              </w:rPr>
              <w:t>6</w:t>
            </w:r>
            <w:r>
              <w:rPr>
                <w:rFonts w:hint="eastAsia" w:ascii="宋体" w:hAnsi="宋体" w:eastAsia="宋体" w:cs="宋体"/>
                <w:b/>
                <w:bCs/>
                <w:kern w:val="0"/>
              </w:rPr>
              <w:t xml:space="preserve"> </w:t>
            </w:r>
            <w:r>
              <w:rPr>
                <w:rFonts w:ascii="宋体" w:hAnsi="宋体" w:eastAsia="宋体" w:cs="宋体"/>
                <w:kern w:val="0"/>
              </w:rPr>
              <w:t>采用非手动开关的用水点应符合下列要求：</w:t>
            </w:r>
          </w:p>
          <w:p w14:paraId="4EFA2664">
            <w:pPr>
              <w:ind w:firstLine="480" w:firstLineChars="200"/>
              <w:rPr>
                <w:rFonts w:ascii="宋体" w:hAnsi="宋体" w:eastAsia="宋体" w:cs="宋体"/>
                <w:kern w:val="0"/>
              </w:rPr>
            </w:pPr>
            <w:r>
              <w:rPr>
                <w:rFonts w:ascii="宋体" w:hAnsi="宋体" w:eastAsia="宋体" w:cs="宋体"/>
                <w:kern w:val="0"/>
              </w:rPr>
              <w:t>1 公共卫生间的洗手盆宜采用感应自动水龙头，小便斗宜采用自动冲洗阀，蹲式大便器宜采用脚踏式自闭冲洗阀或感应冲洗阀。</w:t>
            </w:r>
          </w:p>
          <w:p w14:paraId="6D9F98C7">
            <w:pPr>
              <w:ind w:firstLine="480" w:firstLineChars="200"/>
              <w:rPr>
                <w:rFonts w:ascii="宋体" w:hAnsi="宋体" w:eastAsia="宋体" w:cs="宋体"/>
                <w:kern w:val="0"/>
              </w:rPr>
            </w:pPr>
            <w:r>
              <w:rPr>
                <w:rFonts w:ascii="宋体" w:hAnsi="宋体" w:eastAsia="宋体" w:cs="宋体"/>
                <w:kern w:val="0"/>
              </w:rPr>
              <w:t>2 护士站、治疗室、洁净室和消毒供应中心、监护病房和烧伤病房等房间的洗手盆，应采用感应自动、膝动或肘动开关水龙头</w:t>
            </w:r>
            <w:r>
              <w:rPr>
                <w:rFonts w:hint="eastAsia" w:ascii="宋体" w:hAnsi="宋体" w:eastAsia="宋体" w:cs="宋体"/>
                <w:kern w:val="0"/>
              </w:rPr>
              <w:t>。</w:t>
            </w:r>
          </w:p>
          <w:p w14:paraId="1EB4EAF4">
            <w:pPr>
              <w:ind w:firstLine="480" w:firstLineChars="200"/>
              <w:rPr>
                <w:rFonts w:ascii="宋体" w:hAnsi="宋体" w:eastAsia="宋体" w:cs="宋体"/>
                <w:kern w:val="0"/>
              </w:rPr>
            </w:pPr>
            <w:r>
              <w:rPr>
                <w:rFonts w:ascii="宋体" w:hAnsi="宋体" w:eastAsia="宋体" w:cs="宋体"/>
                <w:kern w:val="0"/>
              </w:rPr>
              <w:t>3 产房、手术刷手池、洁净无菌室、血液病房和烧伤病房等房间的洗手盆，应采用感应自动水龙头。</w:t>
            </w:r>
          </w:p>
          <w:p w14:paraId="1DA65268">
            <w:pPr>
              <w:ind w:firstLine="480" w:firstLineChars="200"/>
            </w:pPr>
            <w:r>
              <w:rPr>
                <w:rFonts w:ascii="宋体" w:hAnsi="宋体" w:eastAsia="宋体" w:cs="宋体"/>
                <w:kern w:val="0"/>
              </w:rPr>
              <w:t>4 有无菌要求或防止院内感染场所的卫生器具，应按本条第1款～第3款要求选择水龙头或冲洗阀。</w:t>
            </w:r>
          </w:p>
        </w:tc>
        <w:tc>
          <w:tcPr>
            <w:tcW w:w="4261" w:type="dxa"/>
          </w:tcPr>
          <w:p w14:paraId="10B4295D">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bCs/>
                <w:kern w:val="0"/>
              </w:rPr>
              <w:t>.</w:t>
            </w:r>
            <w:r>
              <w:rPr>
                <w:rFonts w:ascii="宋体" w:hAnsi="宋体" w:eastAsia="宋体" w:cs="宋体"/>
                <w:bCs/>
                <w:kern w:val="0"/>
              </w:rPr>
              <w:t>6</w:t>
            </w:r>
            <w:r>
              <w:rPr>
                <w:rFonts w:hint="eastAsia" w:ascii="宋体" w:hAnsi="宋体" w:eastAsia="宋体" w:cs="宋体"/>
                <w:b/>
                <w:bCs/>
                <w:kern w:val="0"/>
              </w:rPr>
              <w:t xml:space="preserve"> </w:t>
            </w:r>
            <w:r>
              <w:rPr>
                <w:rFonts w:ascii="宋体" w:hAnsi="宋体" w:eastAsia="宋体" w:cs="宋体"/>
                <w:kern w:val="0"/>
              </w:rPr>
              <w:t>采用非手动开关的用水点应符合下列要求：</w:t>
            </w:r>
          </w:p>
          <w:p w14:paraId="6AA3967F">
            <w:pPr>
              <w:ind w:firstLine="480" w:firstLineChars="200"/>
              <w:rPr>
                <w:rFonts w:ascii="宋体" w:hAnsi="宋体" w:eastAsia="宋体" w:cs="宋体"/>
                <w:kern w:val="0"/>
              </w:rPr>
            </w:pPr>
            <w:r>
              <w:rPr>
                <w:rFonts w:ascii="宋体" w:hAnsi="宋体" w:eastAsia="宋体" w:cs="宋体"/>
                <w:kern w:val="0"/>
              </w:rPr>
              <w:t>1 公共卫生间的洗手盆宜采用感应自动水龙头，小便斗宜采用自动冲洗阀，蹲式大便器宜采用脚踏式自闭冲洗阀或感应冲洗阀。</w:t>
            </w:r>
          </w:p>
          <w:p w14:paraId="20D16B71">
            <w:pPr>
              <w:ind w:firstLine="480" w:firstLineChars="200"/>
              <w:rPr>
                <w:rFonts w:ascii="宋体" w:hAnsi="宋体" w:eastAsia="宋体" w:cs="宋体"/>
                <w:kern w:val="0"/>
              </w:rPr>
            </w:pPr>
            <w:r>
              <w:rPr>
                <w:rFonts w:ascii="宋体" w:hAnsi="宋体" w:eastAsia="宋体" w:cs="宋体"/>
                <w:kern w:val="0"/>
              </w:rPr>
              <w:t>2 护士站、治疗室、洁净室和消毒供应中心、监护病房和烧伤病房等房间的洗手盆，应采用感应自动、膝动或肘动开关水龙头</w:t>
            </w:r>
            <w:r>
              <w:rPr>
                <w:rFonts w:hint="eastAsia" w:ascii="宋体" w:hAnsi="宋体" w:eastAsia="宋体" w:cs="宋体"/>
                <w:kern w:val="0"/>
              </w:rPr>
              <w:t>。</w:t>
            </w:r>
          </w:p>
          <w:p w14:paraId="1D1397B5">
            <w:pPr>
              <w:ind w:firstLine="480" w:firstLineChars="200"/>
              <w:rPr>
                <w:rFonts w:ascii="宋体" w:hAnsi="宋体" w:eastAsia="宋体" w:cs="宋体"/>
                <w:kern w:val="0"/>
              </w:rPr>
            </w:pPr>
            <w:r>
              <w:rPr>
                <w:rFonts w:ascii="宋体" w:hAnsi="宋体" w:eastAsia="宋体" w:cs="宋体"/>
                <w:kern w:val="0"/>
              </w:rPr>
              <w:t>3 产房、手术刷手池、洁净无菌室、血液病房和烧伤病房等房间的洗手盆，应采用感应自动水龙头。</w:t>
            </w:r>
          </w:p>
          <w:p w14:paraId="13AFC370">
            <w:pPr>
              <w:ind w:firstLine="480" w:firstLineChars="200"/>
              <w:rPr>
                <w:rFonts w:ascii="宋体" w:hAnsi="宋体" w:eastAsia="宋体" w:cs="宋体"/>
                <w:kern w:val="0"/>
              </w:rPr>
            </w:pPr>
            <w:r>
              <w:rPr>
                <w:rFonts w:ascii="宋体" w:hAnsi="宋体" w:eastAsia="宋体" w:cs="宋体"/>
                <w:kern w:val="0"/>
              </w:rPr>
              <w:t>4 有无菌要求或防止院内感染场所的卫生器具，应按本条第1款～第3款要求选择水龙头或冲洗阀。</w:t>
            </w:r>
          </w:p>
          <w:p w14:paraId="58E95A81">
            <w:pPr>
              <w:ind w:firstLine="480" w:firstLineChars="200"/>
            </w:pPr>
            <w:r>
              <w:rPr>
                <w:rFonts w:hint="eastAsia" w:ascii="宋体" w:hAnsi="宋体" w:eastAsia="宋体" w:cs="宋体"/>
                <w:kern w:val="0"/>
                <w:u w:val="single"/>
              </w:rPr>
              <w:t>5 医生用洗涤水龙头应采用自动、脚动和膝动开关，当必须采用肘动开关时，其手柄的长度不应小于160mm。</w:t>
            </w:r>
          </w:p>
        </w:tc>
      </w:tr>
      <w:tr w14:paraId="0B198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CB76422"/>
        </w:tc>
        <w:tc>
          <w:tcPr>
            <w:tcW w:w="4261" w:type="dxa"/>
          </w:tcPr>
          <w:p w14:paraId="22895F4B">
            <w:r>
              <w:rPr>
                <w:rFonts w:cs="宋体" w:asciiTheme="minorEastAsia" w:hAnsiTheme="minorEastAsia"/>
                <w:kern w:val="0"/>
                <w:u w:val="single"/>
              </w:rPr>
              <w:t>6.2.6</w:t>
            </w:r>
            <w:r>
              <w:rPr>
                <w:rFonts w:hint="eastAsia" w:cs="宋体" w:asciiTheme="minorEastAsia" w:hAnsiTheme="minorEastAsia"/>
                <w:kern w:val="0"/>
                <w:u w:val="single"/>
              </w:rPr>
              <w:t>A 室内给水系统宜分区供水，疫情期间及时转换为疫情供水模式，疫情期间作为传染病区的给水系统应采用断流水箱供水。</w:t>
            </w:r>
          </w:p>
        </w:tc>
      </w:tr>
      <w:tr w14:paraId="3756C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E282775"/>
        </w:tc>
        <w:tc>
          <w:tcPr>
            <w:tcW w:w="4261" w:type="dxa"/>
          </w:tcPr>
          <w:p w14:paraId="157EAA45">
            <w:r>
              <w:rPr>
                <w:rFonts w:hint="eastAsia" w:cs="宋体" w:asciiTheme="minorEastAsia" w:hAnsiTheme="minorEastAsia"/>
                <w:kern w:val="0"/>
                <w:u w:val="single"/>
              </w:rPr>
              <w:t>6.2.6B 用水点或卫生器具均应设置维修阀门，维修阀门应采用截止阀，并应设置标识。</w:t>
            </w:r>
          </w:p>
        </w:tc>
      </w:tr>
      <w:tr w14:paraId="30552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76208A3">
            <w:pPr>
              <w:jc w:val="center"/>
              <w:rPr>
                <w:rFonts w:asciiTheme="minorEastAsia" w:hAnsiTheme="minorEastAsia"/>
              </w:rPr>
            </w:pPr>
            <w:bookmarkStart w:id="31" w:name="_Toc85880750"/>
            <w:r>
              <w:rPr>
                <w:rFonts w:asciiTheme="minorEastAsia" w:hAnsiTheme="minorEastAsia"/>
              </w:rPr>
              <w:t>6</w:t>
            </w:r>
            <w:r>
              <w:rPr>
                <w:rFonts w:hint="eastAsia" w:asciiTheme="minorEastAsia" w:hAnsiTheme="minorEastAsia"/>
              </w:rPr>
              <w:t>.</w:t>
            </w:r>
            <w:r>
              <w:rPr>
                <w:rFonts w:asciiTheme="minorEastAsia" w:hAnsiTheme="minorEastAsia"/>
              </w:rPr>
              <w:t>3 排 水</w:t>
            </w:r>
            <w:bookmarkEnd w:id="31"/>
          </w:p>
        </w:tc>
        <w:tc>
          <w:tcPr>
            <w:tcW w:w="4261" w:type="dxa"/>
          </w:tcPr>
          <w:p w14:paraId="26F2167B">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3 排 水</w:t>
            </w:r>
          </w:p>
        </w:tc>
      </w:tr>
      <w:tr w14:paraId="7ACBA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DF328BA"/>
        </w:tc>
        <w:tc>
          <w:tcPr>
            <w:tcW w:w="4261" w:type="dxa"/>
          </w:tcPr>
          <w:p w14:paraId="046E545F">
            <w:pPr>
              <w:rPr>
                <w:rFonts w:ascii="宋体" w:hAnsi="宋体" w:eastAsia="宋体"/>
                <w:u w:val="single"/>
              </w:rPr>
            </w:pPr>
            <w:r>
              <w:rPr>
                <w:rFonts w:hint="eastAsia" w:ascii="宋体" w:hAnsi="宋体" w:eastAsia="宋体" w:cs="宋体"/>
                <w:kern w:val="0"/>
                <w:u w:val="single"/>
              </w:rPr>
              <w:t xml:space="preserve">6.3.1A </w:t>
            </w:r>
            <w:r>
              <w:rPr>
                <w:rFonts w:hint="eastAsia" w:ascii="宋体" w:hAnsi="宋体" w:eastAsia="宋体"/>
                <w:u w:val="single"/>
              </w:rPr>
              <w:t>医院排水系统的设计施工应采取卫生防护措施，并应采取下列措施：</w:t>
            </w:r>
          </w:p>
          <w:p w14:paraId="17A76A1A">
            <w:pPr>
              <w:ind w:firstLine="480" w:firstLineChars="200"/>
              <w:rPr>
                <w:rFonts w:ascii="宋体" w:hAnsi="宋体" w:eastAsia="宋体"/>
                <w:u w:val="single"/>
              </w:rPr>
            </w:pPr>
            <w:r>
              <w:rPr>
                <w:rFonts w:ascii="宋体" w:hAnsi="宋体" w:eastAsia="宋体"/>
                <w:u w:val="single"/>
              </w:rPr>
              <w:t>1</w:t>
            </w:r>
            <w:r>
              <w:rPr>
                <w:rFonts w:hint="eastAsia" w:ascii="宋体" w:hAnsi="宋体" w:eastAsia="宋体"/>
                <w:u w:val="single"/>
              </w:rPr>
              <w:t xml:space="preserve"> 防止管道污废水泄漏；</w:t>
            </w:r>
          </w:p>
          <w:p w14:paraId="0C9E13A8">
            <w:pPr>
              <w:ind w:firstLine="480" w:firstLineChars="200"/>
              <w:rPr>
                <w:rFonts w:ascii="宋体" w:hAnsi="宋体" w:eastAsia="宋体"/>
                <w:u w:val="single"/>
              </w:rPr>
            </w:pPr>
            <w:r>
              <w:rPr>
                <w:rFonts w:ascii="宋体" w:hAnsi="宋体" w:eastAsia="宋体"/>
                <w:u w:val="single"/>
              </w:rPr>
              <w:t>2</w:t>
            </w:r>
            <w:r>
              <w:rPr>
                <w:rFonts w:hint="eastAsia" w:ascii="宋体" w:hAnsi="宋体" w:eastAsia="宋体"/>
                <w:u w:val="single"/>
              </w:rPr>
              <w:t xml:space="preserve"> 防止污废水溢流、倒灌至建筑物地面；</w:t>
            </w:r>
          </w:p>
          <w:p w14:paraId="2764CDF4">
            <w:pPr>
              <w:ind w:firstLine="480" w:firstLineChars="200"/>
              <w:rPr>
                <w:rFonts w:ascii="宋体" w:hAnsi="宋体" w:eastAsia="宋体"/>
                <w:u w:val="single"/>
              </w:rPr>
            </w:pPr>
            <w:r>
              <w:rPr>
                <w:rFonts w:ascii="宋体" w:hAnsi="宋体" w:eastAsia="宋体"/>
                <w:u w:val="single"/>
              </w:rPr>
              <w:t>3</w:t>
            </w:r>
            <w:r>
              <w:rPr>
                <w:rFonts w:hint="eastAsia" w:ascii="宋体" w:hAnsi="宋体" w:eastAsia="宋体"/>
                <w:u w:val="single"/>
              </w:rPr>
              <w:t xml:space="preserve"> 防止管道的堵塞；</w:t>
            </w:r>
          </w:p>
          <w:p w14:paraId="613DCCC6">
            <w:pPr>
              <w:ind w:firstLine="480" w:firstLineChars="200"/>
              <w:rPr>
                <w:rFonts w:ascii="宋体" w:hAnsi="宋体" w:eastAsia="宋体"/>
                <w:u w:val="single"/>
              </w:rPr>
            </w:pPr>
            <w:r>
              <w:rPr>
                <w:rFonts w:ascii="宋体" w:hAnsi="宋体" w:eastAsia="宋体"/>
                <w:u w:val="single"/>
              </w:rPr>
              <w:t>4</w:t>
            </w:r>
            <w:r>
              <w:rPr>
                <w:rFonts w:hint="eastAsia" w:ascii="宋体" w:hAnsi="宋体" w:eastAsia="宋体"/>
                <w:u w:val="single"/>
              </w:rPr>
              <w:t xml:space="preserve"> 防止排水系统内的有毒有害、非毒性气体和臭味溢出进入建筑物内；</w:t>
            </w:r>
          </w:p>
          <w:p w14:paraId="1AE5BE8B">
            <w:pPr>
              <w:ind w:firstLine="480" w:firstLineChars="200"/>
            </w:pPr>
            <w:r>
              <w:rPr>
                <w:rFonts w:hint="eastAsia" w:ascii="宋体" w:hAnsi="宋体" w:eastAsia="宋体"/>
                <w:u w:val="single"/>
              </w:rPr>
              <w:t>5 防止污染给水、热水和优质饮用水系统。</w:t>
            </w:r>
          </w:p>
        </w:tc>
      </w:tr>
      <w:tr w14:paraId="0BD08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128D790"/>
        </w:tc>
        <w:tc>
          <w:tcPr>
            <w:tcW w:w="4261" w:type="dxa"/>
          </w:tcPr>
          <w:p w14:paraId="46E29A63">
            <w:pPr>
              <w:rPr>
                <w:rFonts w:ascii="宋体" w:hAnsi="宋体" w:eastAsia="宋体" w:cs="宋体"/>
                <w:kern w:val="0"/>
                <w:u w:val="single"/>
              </w:rPr>
            </w:pPr>
            <w:r>
              <w:rPr>
                <w:rFonts w:hint="eastAsia" w:ascii="宋体" w:hAnsi="宋体" w:eastAsia="宋体" w:cs="宋体"/>
                <w:kern w:val="0"/>
                <w:u w:val="single"/>
              </w:rPr>
              <w:t>6.3.1B</w:t>
            </w:r>
            <w:r>
              <w:rPr>
                <w:rFonts w:ascii="宋体" w:hAnsi="宋体" w:eastAsia="宋体" w:cs="宋体"/>
                <w:kern w:val="0"/>
                <w:u w:val="single"/>
              </w:rPr>
              <w:t xml:space="preserve"> </w:t>
            </w:r>
            <w:r>
              <w:rPr>
                <w:rFonts w:hint="eastAsia" w:ascii="宋体" w:hAnsi="宋体" w:eastAsia="宋体" w:cs="宋体"/>
                <w:kern w:val="0"/>
                <w:u w:val="single"/>
              </w:rPr>
              <w:t>除允许淹没的场所外，医院雨水应及时排走，不得造成室内淹没、水渍损失、阻塞道路交通和卫生危险等风险事故的发生。超重现期雨水应采取有效措施及时排走，且系统设计应有防止内涝和外来雨水倒灌淹没的措施。下列场所雨水设计重现期内的</w:t>
            </w:r>
            <w:r>
              <w:rPr>
                <w:rFonts w:ascii="宋体" w:hAnsi="宋体" w:eastAsia="宋体" w:cs="宋体"/>
                <w:kern w:val="0"/>
                <w:u w:val="single"/>
              </w:rPr>
              <w:t>雨水</w:t>
            </w:r>
            <w:r>
              <w:rPr>
                <w:rFonts w:hint="eastAsia" w:ascii="宋体" w:hAnsi="宋体" w:eastAsia="宋体" w:cs="宋体"/>
                <w:kern w:val="0"/>
                <w:u w:val="single"/>
              </w:rPr>
              <w:t>应迅速排除，不得返溢至室内和室外地面：</w:t>
            </w:r>
          </w:p>
          <w:p w14:paraId="7E49912B">
            <w:pPr>
              <w:ind w:firstLine="480" w:firstLineChars="200"/>
              <w:rPr>
                <w:rFonts w:ascii="宋体" w:hAnsi="宋体" w:eastAsia="宋体"/>
                <w:u w:val="single"/>
              </w:rPr>
            </w:pPr>
            <w:r>
              <w:rPr>
                <w:rFonts w:hint="eastAsia" w:ascii="宋体" w:hAnsi="宋体" w:eastAsia="宋体"/>
                <w:u w:val="single"/>
              </w:rPr>
              <w:t xml:space="preserve">1 </w:t>
            </w:r>
            <w:r>
              <w:rPr>
                <w:rFonts w:ascii="宋体" w:hAnsi="宋体" w:eastAsia="宋体"/>
                <w:u w:val="single"/>
              </w:rPr>
              <w:t>屋面</w:t>
            </w:r>
            <w:r>
              <w:rPr>
                <w:rFonts w:hint="eastAsia" w:ascii="宋体" w:hAnsi="宋体" w:eastAsia="宋体"/>
                <w:u w:val="single"/>
              </w:rPr>
              <w:t>；</w:t>
            </w:r>
          </w:p>
          <w:p w14:paraId="67530A37">
            <w:pPr>
              <w:ind w:firstLine="480" w:firstLineChars="200"/>
              <w:rPr>
                <w:rFonts w:ascii="宋体" w:hAnsi="宋体" w:eastAsia="宋体"/>
                <w:u w:val="single"/>
              </w:rPr>
            </w:pPr>
            <w:r>
              <w:rPr>
                <w:rFonts w:hint="eastAsia" w:ascii="宋体" w:hAnsi="宋体" w:eastAsia="宋体"/>
                <w:u w:val="single"/>
              </w:rPr>
              <w:t xml:space="preserve">2 </w:t>
            </w:r>
            <w:r>
              <w:rPr>
                <w:rFonts w:ascii="宋体" w:hAnsi="宋体" w:eastAsia="宋体"/>
                <w:u w:val="single"/>
              </w:rPr>
              <w:t>下沉式广场</w:t>
            </w:r>
            <w:r>
              <w:rPr>
                <w:rFonts w:hint="eastAsia" w:ascii="宋体" w:hAnsi="宋体" w:eastAsia="宋体"/>
                <w:u w:val="single"/>
              </w:rPr>
              <w:t>；</w:t>
            </w:r>
          </w:p>
          <w:p w14:paraId="77BBD9E3">
            <w:pPr>
              <w:ind w:firstLine="480" w:firstLineChars="200"/>
              <w:rPr>
                <w:rFonts w:ascii="宋体" w:hAnsi="宋体" w:eastAsia="宋体"/>
                <w:u w:val="single"/>
              </w:rPr>
            </w:pPr>
            <w:r>
              <w:rPr>
                <w:rFonts w:hint="eastAsia" w:ascii="宋体" w:hAnsi="宋体" w:eastAsia="宋体"/>
                <w:u w:val="single"/>
              </w:rPr>
              <w:t>3 汽车坡道；</w:t>
            </w:r>
          </w:p>
          <w:p w14:paraId="7CA2C79B">
            <w:pPr>
              <w:ind w:firstLine="480" w:firstLineChars="200"/>
            </w:pPr>
            <w:r>
              <w:rPr>
                <w:rFonts w:hint="eastAsia" w:ascii="宋体" w:hAnsi="宋体" w:eastAsia="宋体"/>
                <w:u w:val="single"/>
              </w:rPr>
              <w:t>4 院区或建筑红线区域内交通、露天堆放和有卫生要求的场地等。</w:t>
            </w:r>
          </w:p>
        </w:tc>
      </w:tr>
      <w:tr w14:paraId="04568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9B5C34D">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kern w:val="0"/>
              </w:rPr>
              <w:t xml:space="preserve"> </w:t>
            </w:r>
            <w:r>
              <w:rPr>
                <w:rFonts w:ascii="宋体" w:hAnsi="宋体" w:eastAsia="宋体" w:cs="宋体"/>
                <w:kern w:val="0"/>
              </w:rPr>
              <w:t>下列场所应采用独立的排水系统或间接排放，并应符合下列要求：</w:t>
            </w:r>
          </w:p>
          <w:p w14:paraId="2D1246BA">
            <w:pPr>
              <w:ind w:firstLine="480" w:firstLineChars="200"/>
              <w:rPr>
                <w:rFonts w:ascii="宋体" w:hAnsi="宋体" w:eastAsia="宋体" w:cs="宋体"/>
                <w:kern w:val="0"/>
              </w:rPr>
            </w:pPr>
            <w:r>
              <w:rPr>
                <w:rFonts w:ascii="宋体" w:hAnsi="宋体" w:eastAsia="宋体" w:cs="宋体"/>
                <w:kern w:val="0"/>
              </w:rPr>
              <w:t xml:space="preserve">1 </w:t>
            </w:r>
            <w:r>
              <w:rPr>
                <w:rFonts w:hint="eastAsia" w:ascii="宋体" w:hAnsi="宋体" w:eastAsia="宋体" w:cs="宋体"/>
                <w:kern w:val="0"/>
                <w:bdr w:val="single" w:color="auto" w:sz="4" w:space="0"/>
              </w:rPr>
              <w:t>传染</w:t>
            </w:r>
            <w:r>
              <w:rPr>
                <w:rFonts w:ascii="宋体" w:hAnsi="宋体" w:eastAsia="宋体" w:cs="宋体"/>
                <w:kern w:val="0"/>
              </w:rPr>
              <w:t>病门急诊和病房的污水应单独收集处理；</w:t>
            </w:r>
          </w:p>
          <w:p w14:paraId="31301AAC">
            <w:pPr>
              <w:ind w:firstLine="480" w:firstLineChars="200"/>
              <w:rPr>
                <w:rFonts w:ascii="宋体" w:hAnsi="宋体" w:eastAsia="宋体" w:cs="宋体"/>
                <w:kern w:val="0"/>
              </w:rPr>
            </w:pPr>
            <w:r>
              <w:rPr>
                <w:rFonts w:ascii="宋体" w:hAnsi="宋体" w:eastAsia="宋体" w:cs="宋体"/>
                <w:kern w:val="0"/>
              </w:rPr>
              <w:t>2 放射性废水应单独收集处理；</w:t>
            </w:r>
          </w:p>
          <w:p w14:paraId="1D7C0ECE">
            <w:pPr>
              <w:ind w:firstLine="480" w:firstLineChars="200"/>
              <w:rPr>
                <w:rFonts w:ascii="宋体" w:hAnsi="宋体" w:eastAsia="宋体" w:cs="宋体"/>
                <w:kern w:val="0"/>
              </w:rPr>
            </w:pPr>
            <w:r>
              <w:rPr>
                <w:rFonts w:ascii="宋体" w:hAnsi="宋体" w:eastAsia="宋体" w:cs="宋体"/>
                <w:kern w:val="0"/>
              </w:rPr>
              <w:t>3 牙科废水宜单独收集处理；</w:t>
            </w:r>
          </w:p>
          <w:p w14:paraId="3B50B1E7">
            <w:pPr>
              <w:ind w:firstLine="480" w:firstLineChars="200"/>
              <w:rPr>
                <w:rFonts w:ascii="宋体" w:hAnsi="宋体" w:eastAsia="宋体" w:cs="宋体"/>
                <w:kern w:val="0"/>
              </w:rPr>
            </w:pPr>
            <w:r>
              <w:rPr>
                <w:rFonts w:ascii="宋体" w:hAnsi="宋体" w:eastAsia="宋体" w:cs="宋体"/>
                <w:kern w:val="0"/>
              </w:rPr>
              <w:t>4 锅炉排污水、中心（消毒）供应室的消毒凝结水等，应单独收集并设置降温池或降温井；</w:t>
            </w:r>
          </w:p>
          <w:p w14:paraId="21C5C62F">
            <w:pPr>
              <w:ind w:firstLine="480" w:firstLineChars="200"/>
              <w:rPr>
                <w:rFonts w:ascii="宋体" w:hAnsi="宋体" w:eastAsia="宋体" w:cs="宋体"/>
                <w:kern w:val="0"/>
              </w:rPr>
            </w:pPr>
            <w:r>
              <w:rPr>
                <w:rFonts w:ascii="宋体" w:hAnsi="宋体" w:eastAsia="宋体" w:cs="宋体"/>
                <w:kern w:val="0"/>
              </w:rPr>
              <w:t>5 分析化验采用的有腐蚀性的化学试剂宜单独收集，并应综合处理后再排入院区污水管道或回收利用；</w:t>
            </w:r>
          </w:p>
          <w:p w14:paraId="3B50B5B1">
            <w:pPr>
              <w:ind w:firstLine="480" w:firstLineChars="200"/>
              <w:rPr>
                <w:rFonts w:ascii="宋体" w:hAnsi="宋体" w:eastAsia="宋体" w:cs="宋体"/>
                <w:kern w:val="0"/>
              </w:rPr>
            </w:pPr>
            <w:r>
              <w:rPr>
                <w:rFonts w:ascii="宋体" w:hAnsi="宋体" w:eastAsia="宋体" w:cs="宋体"/>
                <w:kern w:val="0"/>
              </w:rPr>
              <w:t>6 其他医疗设备或设施的排水管道应采用间接排水；</w:t>
            </w:r>
          </w:p>
          <w:p w14:paraId="22571F1E">
            <w:pPr>
              <w:ind w:firstLine="480" w:firstLineChars="200"/>
            </w:pPr>
            <w:r>
              <w:rPr>
                <w:rFonts w:ascii="宋体" w:hAnsi="宋体" w:eastAsia="宋体" w:cs="宋体"/>
                <w:kern w:val="0"/>
              </w:rPr>
              <w:t>7 太平间和解剖室应在室内采用独立的排水系统，且主通气管应伸到屋顶无不良处。</w:t>
            </w:r>
          </w:p>
        </w:tc>
        <w:tc>
          <w:tcPr>
            <w:tcW w:w="4261" w:type="dxa"/>
          </w:tcPr>
          <w:p w14:paraId="0351973F">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bCs/>
                <w:kern w:val="0"/>
              </w:rPr>
              <w:t>.</w:t>
            </w:r>
            <w:r>
              <w:rPr>
                <w:rFonts w:ascii="宋体" w:hAnsi="宋体" w:eastAsia="宋体" w:cs="宋体"/>
                <w:bCs/>
                <w:kern w:val="0"/>
              </w:rPr>
              <w:t>2</w:t>
            </w:r>
            <w:r>
              <w:rPr>
                <w:rFonts w:hint="eastAsia" w:ascii="宋体" w:hAnsi="宋体" w:eastAsia="宋体" w:cs="宋体"/>
                <w:kern w:val="0"/>
              </w:rPr>
              <w:t xml:space="preserve"> </w:t>
            </w:r>
            <w:r>
              <w:rPr>
                <w:rFonts w:ascii="宋体" w:hAnsi="宋体" w:eastAsia="宋体" w:cs="宋体"/>
                <w:kern w:val="0"/>
              </w:rPr>
              <w:t>下列场所应采用独立的排水系统或间接排放，并应符合下列要求：</w:t>
            </w:r>
          </w:p>
          <w:p w14:paraId="6C23FB17">
            <w:pPr>
              <w:ind w:firstLine="480" w:firstLineChars="200"/>
              <w:rPr>
                <w:rFonts w:ascii="宋体" w:hAnsi="宋体" w:eastAsia="宋体" w:cs="宋体"/>
                <w:kern w:val="0"/>
              </w:rPr>
            </w:pPr>
            <w:r>
              <w:rPr>
                <w:rFonts w:ascii="宋体" w:hAnsi="宋体" w:eastAsia="宋体" w:cs="宋体"/>
                <w:kern w:val="0"/>
              </w:rPr>
              <w:t xml:space="preserve">1 </w:t>
            </w:r>
            <w:r>
              <w:rPr>
                <w:rFonts w:hint="eastAsia" w:ascii="宋体" w:hAnsi="宋体" w:eastAsia="宋体" w:cs="宋体"/>
                <w:kern w:val="0"/>
                <w:u w:val="single"/>
              </w:rPr>
              <w:t>感染</w:t>
            </w:r>
            <w:r>
              <w:rPr>
                <w:rFonts w:ascii="宋体" w:hAnsi="宋体" w:eastAsia="宋体" w:cs="宋体"/>
                <w:kern w:val="0"/>
                <w:u w:val="single"/>
              </w:rPr>
              <w:t>疾</w:t>
            </w:r>
            <w:r>
              <w:rPr>
                <w:rFonts w:ascii="宋体" w:hAnsi="宋体" w:eastAsia="宋体" w:cs="宋体"/>
                <w:kern w:val="0"/>
              </w:rPr>
              <w:t>病门急诊和病房的污水应单独收集处理；</w:t>
            </w:r>
          </w:p>
          <w:p w14:paraId="3B648BD5">
            <w:pPr>
              <w:ind w:firstLine="480" w:firstLineChars="200"/>
              <w:rPr>
                <w:rFonts w:ascii="宋体" w:hAnsi="宋体" w:eastAsia="宋体" w:cs="宋体"/>
                <w:kern w:val="0"/>
              </w:rPr>
            </w:pPr>
            <w:r>
              <w:rPr>
                <w:rFonts w:ascii="宋体" w:hAnsi="宋体" w:eastAsia="宋体" w:cs="宋体"/>
                <w:kern w:val="0"/>
              </w:rPr>
              <w:t>2 放射性废水应单独收集处理</w:t>
            </w:r>
            <w:r>
              <w:rPr>
                <w:rFonts w:hint="eastAsia" w:ascii="宋体" w:hAnsi="宋体" w:eastAsia="宋体"/>
                <w:u w:val="single"/>
              </w:rPr>
              <w:t>，处理设施的设置应考虑维护管理时的合理需求</w:t>
            </w:r>
            <w:r>
              <w:rPr>
                <w:rFonts w:ascii="宋体" w:hAnsi="宋体" w:eastAsia="宋体" w:cs="宋体"/>
                <w:kern w:val="0"/>
              </w:rPr>
              <w:t>；</w:t>
            </w:r>
          </w:p>
          <w:p w14:paraId="1B553922">
            <w:pPr>
              <w:ind w:firstLine="480" w:firstLineChars="200"/>
              <w:rPr>
                <w:rFonts w:ascii="宋体" w:hAnsi="宋体" w:eastAsia="宋体" w:cs="宋体"/>
                <w:kern w:val="0"/>
              </w:rPr>
            </w:pPr>
            <w:r>
              <w:rPr>
                <w:rFonts w:ascii="宋体" w:hAnsi="宋体" w:eastAsia="宋体" w:cs="宋体"/>
                <w:kern w:val="0"/>
              </w:rPr>
              <w:t>3 牙科废水宜单独收集处理；</w:t>
            </w:r>
          </w:p>
          <w:p w14:paraId="2F7D7D28">
            <w:pPr>
              <w:ind w:firstLine="480" w:firstLineChars="200"/>
              <w:rPr>
                <w:rFonts w:ascii="宋体" w:hAnsi="宋体" w:eastAsia="宋体" w:cs="宋体"/>
                <w:kern w:val="0"/>
              </w:rPr>
            </w:pPr>
            <w:r>
              <w:rPr>
                <w:rFonts w:ascii="宋体" w:hAnsi="宋体" w:eastAsia="宋体" w:cs="宋体"/>
                <w:kern w:val="0"/>
              </w:rPr>
              <w:t>4 锅炉排污水、中心（消毒）供应室的消毒凝结水等，应单独收集并设置降温池或降温井；</w:t>
            </w:r>
          </w:p>
          <w:p w14:paraId="7C373D05">
            <w:pPr>
              <w:ind w:firstLine="480" w:firstLineChars="200"/>
              <w:rPr>
                <w:rFonts w:ascii="宋体" w:hAnsi="宋体" w:eastAsia="宋体" w:cs="宋体"/>
                <w:kern w:val="0"/>
              </w:rPr>
            </w:pPr>
            <w:r>
              <w:rPr>
                <w:rFonts w:ascii="宋体" w:hAnsi="宋体" w:eastAsia="宋体" w:cs="宋体"/>
                <w:kern w:val="0"/>
              </w:rPr>
              <w:t>5 分析化验采用的有腐蚀性的化学试剂宜单独收集，并应综合处理后再排入院区污水管道或回收利用；</w:t>
            </w:r>
          </w:p>
          <w:p w14:paraId="6E2CF2AF">
            <w:pPr>
              <w:ind w:firstLine="480" w:firstLineChars="200"/>
              <w:rPr>
                <w:rFonts w:ascii="宋体" w:hAnsi="宋体" w:eastAsia="宋体" w:cs="宋体"/>
                <w:kern w:val="0"/>
              </w:rPr>
            </w:pPr>
            <w:r>
              <w:rPr>
                <w:rFonts w:ascii="宋体" w:hAnsi="宋体" w:eastAsia="宋体" w:cs="宋体"/>
                <w:kern w:val="0"/>
              </w:rPr>
              <w:t>6 其他医疗设备或设施的排水管道应采用间接排水；</w:t>
            </w:r>
          </w:p>
          <w:p w14:paraId="4D6705CE">
            <w:pPr>
              <w:ind w:firstLine="480" w:firstLineChars="200"/>
            </w:pPr>
            <w:r>
              <w:rPr>
                <w:rFonts w:ascii="宋体" w:hAnsi="宋体" w:eastAsia="宋体" w:cs="宋体"/>
                <w:kern w:val="0"/>
              </w:rPr>
              <w:t>7 太平间和解剖室应在室内采用独立的排水系统，且主通气管应伸到屋顶无不良处。</w:t>
            </w:r>
          </w:p>
        </w:tc>
      </w:tr>
      <w:tr w14:paraId="2A543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AFFABB"/>
        </w:tc>
        <w:tc>
          <w:tcPr>
            <w:tcW w:w="4261" w:type="dxa"/>
          </w:tcPr>
          <w:p w14:paraId="05327F46">
            <w:pPr>
              <w:rPr>
                <w:rFonts w:ascii="宋体" w:hAnsi="宋体" w:eastAsia="宋体" w:cs="宋体"/>
                <w:kern w:val="0"/>
                <w:u w:val="single"/>
              </w:rPr>
            </w:pPr>
            <w:r>
              <w:rPr>
                <w:rFonts w:hint="eastAsia" w:ascii="宋体" w:hAnsi="宋体" w:eastAsia="宋体" w:cs="宋体"/>
                <w:kern w:val="0"/>
                <w:u w:val="single"/>
              </w:rPr>
              <w:t>6.3.2A</w:t>
            </w:r>
            <w:r>
              <w:rPr>
                <w:rFonts w:ascii="宋体" w:hAnsi="宋体" w:eastAsia="宋体" w:cs="宋体"/>
                <w:kern w:val="0"/>
                <w:u w:val="single"/>
              </w:rPr>
              <w:t xml:space="preserve"> </w:t>
            </w:r>
            <w:r>
              <w:rPr>
                <w:rFonts w:hint="eastAsia" w:ascii="宋体" w:hAnsi="宋体" w:eastAsia="宋体" w:cs="宋体"/>
                <w:kern w:val="0"/>
                <w:u w:val="single"/>
              </w:rPr>
              <w:t>排水系统应采取防止水封破坏的技术措施，并应符合下列规定：</w:t>
            </w:r>
          </w:p>
          <w:p w14:paraId="7D4961C4">
            <w:pPr>
              <w:ind w:firstLine="480" w:firstLineChars="200"/>
              <w:rPr>
                <w:rFonts w:ascii="宋体" w:hAnsi="宋体" w:eastAsia="宋体" w:cs="宋体"/>
                <w:kern w:val="0"/>
                <w:u w:val="single"/>
              </w:rPr>
            </w:pPr>
            <w:r>
              <w:rPr>
                <w:rFonts w:hint="eastAsia" w:ascii="宋体" w:hAnsi="宋体" w:eastAsia="宋体" w:cs="宋体"/>
                <w:kern w:val="0"/>
                <w:u w:val="single"/>
              </w:rPr>
              <w:t>1 排水立管的最大设计排水能力取值不应大于现行国家标准《建筑给水排水设计标准》GB50015规定值的0.7倍；</w:t>
            </w:r>
          </w:p>
          <w:p w14:paraId="03388508">
            <w:pPr>
              <w:ind w:firstLine="480" w:firstLineChars="200"/>
            </w:pPr>
            <w:r>
              <w:rPr>
                <w:rFonts w:hint="eastAsia" w:ascii="宋体" w:hAnsi="宋体" w:eastAsia="宋体" w:cs="宋体"/>
                <w:kern w:val="0"/>
                <w:u w:val="single"/>
              </w:rPr>
              <w:t>2 地漏应采用水封补水措施，并宜采用洗手盆排水给地漏水封补水的措施。</w:t>
            </w:r>
          </w:p>
        </w:tc>
      </w:tr>
      <w:tr w14:paraId="2DB15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C89F483">
            <w:pPr>
              <w:rPr>
                <w:rFonts w:ascii="宋体" w:hAnsi="宋体" w:eastAsia="宋体" w:cs="宋体"/>
                <w:bCs/>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bCs/>
                <w:kern w:val="0"/>
              </w:rPr>
              <w:t>.</w:t>
            </w:r>
            <w:r>
              <w:rPr>
                <w:rFonts w:ascii="宋体" w:hAnsi="宋体" w:eastAsia="宋体" w:cs="宋体"/>
                <w:bCs/>
                <w:kern w:val="0"/>
              </w:rPr>
              <w:t>7</w:t>
            </w:r>
            <w:r>
              <w:rPr>
                <w:rFonts w:hint="eastAsia" w:ascii="宋体" w:hAnsi="宋体" w:eastAsia="宋体" w:cs="宋体"/>
                <w:bCs/>
                <w:kern w:val="0"/>
              </w:rPr>
              <w:t xml:space="preserve"> </w:t>
            </w:r>
            <w:r>
              <w:rPr>
                <w:rFonts w:ascii="宋体" w:hAnsi="宋体" w:eastAsia="宋体" w:cs="宋体"/>
                <w:bCs/>
                <w:kern w:val="0"/>
              </w:rPr>
              <w:t>医院地面排水地漏的设置，应符合下列要求：</w:t>
            </w:r>
          </w:p>
          <w:p w14:paraId="53764B43">
            <w:pPr>
              <w:ind w:firstLine="480" w:firstLineChars="200"/>
              <w:rPr>
                <w:rFonts w:ascii="宋体" w:hAnsi="宋体" w:eastAsia="宋体" w:cs="宋体"/>
                <w:kern w:val="0"/>
              </w:rPr>
            </w:pPr>
            <w:r>
              <w:rPr>
                <w:rFonts w:ascii="宋体" w:hAnsi="宋体" w:eastAsia="宋体" w:cs="宋体"/>
                <w:kern w:val="0"/>
              </w:rPr>
              <w:t>1 浴室和空调机房等经常有水流的房间应设置地漏；</w:t>
            </w:r>
          </w:p>
          <w:p w14:paraId="7C3224F9">
            <w:pPr>
              <w:ind w:firstLine="480" w:firstLineChars="200"/>
              <w:rPr>
                <w:rFonts w:ascii="宋体" w:hAnsi="宋体" w:eastAsia="宋体" w:cs="宋体"/>
                <w:kern w:val="0"/>
              </w:rPr>
            </w:pPr>
            <w:r>
              <w:rPr>
                <w:rFonts w:ascii="宋体" w:hAnsi="宋体" w:eastAsia="宋体" w:cs="宋体"/>
                <w:kern w:val="0"/>
              </w:rPr>
              <w:t>2 卫生间有可能形成水流的房间宜设置地漏；</w:t>
            </w:r>
          </w:p>
          <w:p w14:paraId="2AC16A48">
            <w:pPr>
              <w:ind w:firstLine="480" w:firstLineChars="200"/>
              <w:rPr>
                <w:rFonts w:ascii="宋体" w:hAnsi="宋体" w:eastAsia="宋体" w:cs="宋体"/>
                <w:kern w:val="0"/>
              </w:rPr>
            </w:pPr>
            <w:r>
              <w:rPr>
                <w:rFonts w:ascii="宋体" w:hAnsi="宋体" w:eastAsia="宋体" w:cs="宋体"/>
                <w:kern w:val="0"/>
              </w:rPr>
              <w:t>3 对于空调机房等季节性地面排水，以及需要排放冲洗地面、冲洗废水的医疗用房等，应采用可开启式密封地漏；</w:t>
            </w:r>
          </w:p>
          <w:p w14:paraId="59170F84">
            <w:pPr>
              <w:ind w:firstLine="480" w:firstLineChars="200"/>
              <w:rPr>
                <w:rFonts w:ascii="宋体" w:hAnsi="宋体" w:eastAsia="宋体" w:cs="宋体"/>
                <w:kern w:val="0"/>
              </w:rPr>
            </w:pPr>
            <w:r>
              <w:rPr>
                <w:rFonts w:ascii="宋体" w:hAnsi="宋体" w:eastAsia="宋体" w:cs="宋体"/>
                <w:kern w:val="0"/>
              </w:rPr>
              <w:t>4 地漏应采用带过滤网的无水封直通型地漏加存水弯，地漏的通水能力应满足地面排水的要求</w:t>
            </w:r>
            <w:r>
              <w:rPr>
                <w:rFonts w:cs="宋体" w:asciiTheme="minorEastAsia" w:hAnsiTheme="minorEastAsia"/>
                <w:kern w:val="0"/>
                <w:bdr w:val="single" w:color="auto" w:sz="4" w:space="0"/>
              </w:rPr>
              <w:t>；</w:t>
            </w:r>
          </w:p>
          <w:p w14:paraId="64BB201B">
            <w:pPr>
              <w:ind w:firstLine="480" w:firstLineChars="200"/>
            </w:pPr>
            <w:r>
              <w:rPr>
                <w:rFonts w:ascii="宋体" w:hAnsi="宋体" w:eastAsia="宋体" w:cs="宋体"/>
                <w:kern w:val="0"/>
                <w:bdr w:val="single" w:color="auto" w:sz="4" w:space="0"/>
              </w:rPr>
              <w:t>5 地漏附近有洗手盆时，宜采用洗手盆的排水给地漏水封补水。</w:t>
            </w:r>
          </w:p>
        </w:tc>
        <w:tc>
          <w:tcPr>
            <w:tcW w:w="4261" w:type="dxa"/>
          </w:tcPr>
          <w:p w14:paraId="79CB8DE3">
            <w:pPr>
              <w:rPr>
                <w:rFonts w:ascii="宋体" w:hAnsi="宋体" w:eastAsia="宋体" w:cs="宋体"/>
                <w:bCs/>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bCs/>
                <w:kern w:val="0"/>
              </w:rPr>
              <w:t>.</w:t>
            </w:r>
            <w:r>
              <w:rPr>
                <w:rFonts w:ascii="宋体" w:hAnsi="宋体" w:eastAsia="宋体" w:cs="宋体"/>
                <w:bCs/>
                <w:kern w:val="0"/>
              </w:rPr>
              <w:t>7</w:t>
            </w:r>
            <w:r>
              <w:rPr>
                <w:rFonts w:hint="eastAsia" w:ascii="宋体" w:hAnsi="宋体" w:eastAsia="宋体" w:cs="宋体"/>
                <w:bCs/>
                <w:kern w:val="0"/>
              </w:rPr>
              <w:t xml:space="preserve"> </w:t>
            </w:r>
            <w:r>
              <w:rPr>
                <w:rFonts w:ascii="宋体" w:hAnsi="宋体" w:eastAsia="宋体" w:cs="宋体"/>
                <w:bCs/>
                <w:kern w:val="0"/>
              </w:rPr>
              <w:t>医院地面排水地漏的设置，应符合下列要求：</w:t>
            </w:r>
          </w:p>
          <w:p w14:paraId="110F34C1">
            <w:pPr>
              <w:ind w:firstLine="480" w:firstLineChars="200"/>
              <w:rPr>
                <w:rFonts w:ascii="宋体" w:hAnsi="宋体" w:eastAsia="宋体" w:cs="宋体"/>
                <w:kern w:val="0"/>
              </w:rPr>
            </w:pPr>
            <w:r>
              <w:rPr>
                <w:rFonts w:ascii="宋体" w:hAnsi="宋体" w:eastAsia="宋体" w:cs="宋体"/>
                <w:kern w:val="0"/>
              </w:rPr>
              <w:t>1 浴室和空调机房等经常有水流的房间应设置地漏；</w:t>
            </w:r>
          </w:p>
          <w:p w14:paraId="0F678A30">
            <w:pPr>
              <w:ind w:firstLine="480" w:firstLineChars="200"/>
              <w:rPr>
                <w:rFonts w:ascii="宋体" w:hAnsi="宋体" w:eastAsia="宋体" w:cs="宋体"/>
                <w:kern w:val="0"/>
              </w:rPr>
            </w:pPr>
            <w:r>
              <w:rPr>
                <w:rFonts w:ascii="宋体" w:hAnsi="宋体" w:eastAsia="宋体" w:cs="宋体"/>
                <w:kern w:val="0"/>
              </w:rPr>
              <w:t>2 卫生间有可能形成水流的房间宜设置地漏；</w:t>
            </w:r>
          </w:p>
          <w:p w14:paraId="122CFE26">
            <w:pPr>
              <w:ind w:firstLine="480" w:firstLineChars="200"/>
              <w:rPr>
                <w:rFonts w:ascii="宋体" w:hAnsi="宋体" w:eastAsia="宋体" w:cs="宋体"/>
                <w:kern w:val="0"/>
              </w:rPr>
            </w:pPr>
            <w:r>
              <w:rPr>
                <w:rFonts w:ascii="宋体" w:hAnsi="宋体" w:eastAsia="宋体" w:cs="宋体"/>
                <w:kern w:val="0"/>
              </w:rPr>
              <w:t>3 对于空调机房等季节性地面排水，以及需要排放冲洗地面、冲洗废水的医疗用房等，应采用可开启式密封地漏；</w:t>
            </w:r>
          </w:p>
          <w:p w14:paraId="631EBFCF">
            <w:pPr>
              <w:ind w:firstLine="480" w:firstLineChars="200"/>
            </w:pPr>
            <w:r>
              <w:rPr>
                <w:rFonts w:ascii="宋体" w:hAnsi="宋体" w:eastAsia="宋体" w:cs="宋体"/>
                <w:kern w:val="0"/>
              </w:rPr>
              <w:t>4 地漏应采用带过滤网的无水封直通型地漏加存水弯，地漏的通水能力应满足地面排水的要求</w:t>
            </w:r>
            <w:r>
              <w:rPr>
                <w:rFonts w:hint="eastAsia" w:cs="宋体" w:asciiTheme="minorEastAsia" w:hAnsiTheme="minorEastAsia"/>
                <w:kern w:val="0"/>
                <w:u w:val="single"/>
              </w:rPr>
              <w:t>。</w:t>
            </w:r>
          </w:p>
        </w:tc>
      </w:tr>
      <w:tr w14:paraId="7C4F3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728673"/>
        </w:tc>
        <w:tc>
          <w:tcPr>
            <w:tcW w:w="4261" w:type="dxa"/>
          </w:tcPr>
          <w:p w14:paraId="4F9CAB90">
            <w:pPr>
              <w:rPr>
                <w:rFonts w:ascii="宋体" w:hAnsi="宋体" w:eastAsia="宋体" w:cs="宋体"/>
                <w:kern w:val="0"/>
                <w:u w:val="single"/>
              </w:rPr>
            </w:pPr>
            <w:r>
              <w:rPr>
                <w:rFonts w:hint="eastAsia" w:ascii="宋体" w:hAnsi="宋体" w:eastAsia="宋体" w:cs="宋体"/>
                <w:kern w:val="0"/>
                <w:u w:val="single"/>
              </w:rPr>
              <w:t>6.3.7A “平疫结合”区域的排水系统应符合下列规定：</w:t>
            </w:r>
          </w:p>
          <w:p w14:paraId="486E9F95">
            <w:pPr>
              <w:ind w:firstLine="480" w:firstLineChars="200"/>
              <w:rPr>
                <w:rFonts w:ascii="宋体" w:hAnsi="宋体" w:eastAsia="宋体" w:cs="宋体"/>
                <w:kern w:val="0"/>
                <w:u w:val="single"/>
              </w:rPr>
            </w:pPr>
            <w:r>
              <w:rPr>
                <w:rFonts w:hint="eastAsia" w:ascii="宋体" w:hAnsi="宋体" w:eastAsia="宋体" w:cs="宋体"/>
                <w:kern w:val="0"/>
                <w:u w:val="single"/>
              </w:rPr>
              <w:t>1 通排水系统气管出口应设置高效过滤器过滤或采取消毒处理。</w:t>
            </w:r>
          </w:p>
          <w:p w14:paraId="56ED0306">
            <w:pPr>
              <w:ind w:firstLine="480" w:firstLineChars="200"/>
              <w:rPr>
                <w:rFonts w:ascii="宋体" w:hAnsi="宋体" w:eastAsia="宋体" w:cs="宋体"/>
                <w:kern w:val="0"/>
                <w:u w:val="single"/>
              </w:rPr>
            </w:pPr>
            <w:r>
              <w:rPr>
                <w:rFonts w:hint="eastAsia" w:ascii="宋体" w:hAnsi="宋体" w:eastAsia="宋体" w:cs="宋体"/>
                <w:kern w:val="0"/>
                <w:u w:val="single"/>
              </w:rPr>
              <w:t>2 排水管道应进行闭水试验，且应采取防止排水管道内的污水外渗和泄漏的措施。</w:t>
            </w:r>
          </w:p>
          <w:p w14:paraId="5D99EC99">
            <w:pPr>
              <w:ind w:firstLine="480" w:firstLineChars="200"/>
              <w:rPr>
                <w:rFonts w:ascii="宋体" w:hAnsi="宋体" w:eastAsia="宋体" w:cs="宋体"/>
                <w:kern w:val="0"/>
                <w:u w:val="single"/>
              </w:rPr>
            </w:pPr>
            <w:r>
              <w:rPr>
                <w:rFonts w:hint="eastAsia" w:ascii="宋体" w:hAnsi="宋体" w:eastAsia="宋体" w:cs="宋体"/>
                <w:kern w:val="0"/>
                <w:u w:val="single"/>
              </w:rPr>
              <w:t>3 “平疫结合”区域及建筑室外污水排水系统应采用无检查井的管道进行连接，通气管的间距不应大于50m，清扫口的间距应符合现行国家标准《室外排水设计规范》GB50014和《建筑给水排水设计标准》GB50015的有关规定。</w:t>
            </w:r>
          </w:p>
          <w:p w14:paraId="7516873D">
            <w:pPr>
              <w:ind w:firstLine="480" w:firstLineChars="200"/>
            </w:pPr>
            <w:r>
              <w:rPr>
                <w:rFonts w:hint="eastAsia" w:ascii="宋体" w:hAnsi="宋体" w:eastAsia="宋体" w:cs="宋体"/>
                <w:kern w:val="0"/>
                <w:u w:val="single"/>
              </w:rPr>
              <w:t>4 “平疫结合”区域的排水系统设计应满足在器具处进行消毒的要求。</w:t>
            </w:r>
          </w:p>
        </w:tc>
      </w:tr>
      <w:tr w14:paraId="4A6A3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523912C">
            <w:pPr>
              <w:jc w:val="center"/>
              <w:rPr>
                <w:rFonts w:asciiTheme="minorEastAsia" w:hAnsiTheme="minorEastAsia"/>
              </w:rPr>
            </w:pPr>
            <w:bookmarkStart w:id="32" w:name="_Toc85880751"/>
            <w:r>
              <w:rPr>
                <w:rFonts w:asciiTheme="minorEastAsia" w:hAnsiTheme="minorEastAsia"/>
              </w:rPr>
              <w:t>6</w:t>
            </w:r>
            <w:r>
              <w:rPr>
                <w:rFonts w:hint="eastAsia" w:asciiTheme="minorEastAsia" w:hAnsiTheme="minorEastAsia"/>
              </w:rPr>
              <w:t>.</w:t>
            </w:r>
            <w:r>
              <w:rPr>
                <w:rFonts w:asciiTheme="minorEastAsia" w:hAnsiTheme="minorEastAsia"/>
              </w:rPr>
              <w:t>4 热 水</w:t>
            </w:r>
            <w:bookmarkEnd w:id="32"/>
          </w:p>
        </w:tc>
        <w:tc>
          <w:tcPr>
            <w:tcW w:w="4261" w:type="dxa"/>
          </w:tcPr>
          <w:p w14:paraId="408506FF">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4 热 水</w:t>
            </w:r>
          </w:p>
        </w:tc>
      </w:tr>
      <w:tr w14:paraId="604C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910FE4F">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4</w:t>
            </w:r>
            <w:r>
              <w:rPr>
                <w:rFonts w:hint="eastAsia" w:ascii="宋体" w:hAnsi="宋体" w:eastAsia="宋体" w:cs="宋体"/>
                <w:bCs/>
                <w:kern w:val="0"/>
              </w:rPr>
              <w:t>.</w:t>
            </w:r>
            <w:r>
              <w:rPr>
                <w:rFonts w:ascii="宋体" w:hAnsi="宋体" w:eastAsia="宋体" w:cs="宋体"/>
                <w:bCs/>
                <w:kern w:val="0"/>
              </w:rPr>
              <w:t>1</w:t>
            </w:r>
            <w:r>
              <w:rPr>
                <w:rFonts w:hint="eastAsia" w:ascii="宋体" w:hAnsi="宋体" w:eastAsia="宋体" w:cs="宋体"/>
                <w:bCs/>
                <w:kern w:val="0"/>
              </w:rPr>
              <w:t xml:space="preserve"> </w:t>
            </w:r>
            <w:r>
              <w:rPr>
                <w:rFonts w:ascii="宋体" w:hAnsi="宋体" w:eastAsia="宋体" w:cs="宋体"/>
                <w:kern w:val="0"/>
              </w:rPr>
              <w:t>医院生活热水用水量定额及其计算温度，应符合下列要求：</w:t>
            </w:r>
          </w:p>
          <w:p w14:paraId="4BF90D3E">
            <w:pPr>
              <w:ind w:firstLine="480" w:firstLineChars="200"/>
              <w:rPr>
                <w:rFonts w:ascii="宋体" w:hAnsi="宋体" w:eastAsia="宋体" w:cs="宋体"/>
                <w:kern w:val="0"/>
              </w:rPr>
            </w:pPr>
            <w:r>
              <w:rPr>
                <w:rFonts w:ascii="宋体" w:hAnsi="宋体" w:eastAsia="宋体" w:cs="宋体"/>
                <w:kern w:val="0"/>
              </w:rPr>
              <w:t>1 医院生活热水用水量定额宜符合表6</w:t>
            </w:r>
            <w:r>
              <w:rPr>
                <w:rFonts w:hint="eastAsia" w:ascii="宋体" w:hAnsi="宋体" w:eastAsia="宋体" w:cs="宋体"/>
                <w:kern w:val="0"/>
              </w:rPr>
              <w:t>.</w:t>
            </w:r>
            <w:r>
              <w:rPr>
                <w:rFonts w:ascii="宋体" w:hAnsi="宋体" w:eastAsia="宋体" w:cs="宋体"/>
                <w:kern w:val="0"/>
              </w:rPr>
              <w:t>4</w:t>
            </w:r>
            <w:r>
              <w:rPr>
                <w:rFonts w:hint="eastAsia" w:ascii="宋体" w:hAnsi="宋体" w:eastAsia="宋体" w:cs="宋体"/>
                <w:kern w:val="0"/>
              </w:rPr>
              <w:t>.</w:t>
            </w:r>
            <w:r>
              <w:rPr>
                <w:rFonts w:ascii="宋体" w:hAnsi="宋体" w:eastAsia="宋体" w:cs="宋体"/>
                <w:kern w:val="0"/>
              </w:rPr>
              <w:t>1的规定，医疗用水应根据工艺确定；</w:t>
            </w:r>
          </w:p>
          <w:p w14:paraId="2C7DD69F">
            <w:pPr>
              <w:ind w:firstLine="480" w:firstLineChars="200"/>
              <w:rPr>
                <w:rFonts w:ascii="宋体" w:hAnsi="宋体" w:eastAsia="宋体" w:cs="宋体"/>
                <w:kern w:val="0"/>
              </w:rPr>
            </w:pPr>
            <w:r>
              <w:rPr>
                <w:rFonts w:ascii="宋体" w:hAnsi="宋体" w:eastAsia="宋体" w:cs="宋体"/>
                <w:kern w:val="0"/>
              </w:rPr>
              <w:t>2 医疗用热水温度应根据工艺确定，其他用途的热水水温宜按60℃设计。</w:t>
            </w:r>
          </w:p>
          <w:p w14:paraId="729F5618">
            <w:pPr>
              <w:jc w:val="center"/>
              <w:rPr>
                <w:rFonts w:ascii="宋体" w:hAnsi="宋体" w:eastAsia="宋体"/>
                <w:b/>
                <w:bCs/>
                <w:sz w:val="18"/>
                <w:szCs w:val="22"/>
              </w:rPr>
            </w:pPr>
            <w:r>
              <w:rPr>
                <w:rFonts w:ascii="宋体" w:hAnsi="宋体" w:eastAsia="宋体"/>
                <w:b/>
                <w:bCs/>
                <w:sz w:val="18"/>
                <w:szCs w:val="22"/>
              </w:rPr>
              <w:t>表</w:t>
            </w:r>
            <w:r>
              <w:rPr>
                <w:rFonts w:hint="eastAsia" w:ascii="宋体" w:hAnsi="宋体" w:eastAsia="宋体"/>
                <w:b/>
                <w:bCs/>
                <w:sz w:val="18"/>
                <w:szCs w:val="22"/>
              </w:rPr>
              <w:t xml:space="preserve">6.4.1 </w:t>
            </w:r>
            <w:r>
              <w:rPr>
                <w:rFonts w:ascii="宋体" w:hAnsi="宋体" w:eastAsia="宋体"/>
                <w:b/>
                <w:bCs/>
                <w:sz w:val="18"/>
                <w:szCs w:val="22"/>
              </w:rPr>
              <w:t>医院生活热水（60</w:t>
            </w:r>
            <w:r>
              <w:rPr>
                <w:rFonts w:hint="eastAsia" w:ascii="宋体" w:hAnsi="宋体" w:eastAsia="宋体"/>
                <w:b/>
                <w:bCs/>
                <w:sz w:val="18"/>
                <w:szCs w:val="22"/>
              </w:rPr>
              <w:t>℃</w:t>
            </w:r>
            <w:r>
              <w:rPr>
                <w:rFonts w:ascii="宋体" w:hAnsi="宋体" w:eastAsia="宋体"/>
                <w:b/>
                <w:bCs/>
                <w:sz w:val="18"/>
                <w:szCs w:val="22"/>
              </w:rPr>
              <w:t>）用水</w:t>
            </w:r>
            <w:r>
              <w:rPr>
                <w:rFonts w:hint="eastAsia" w:ascii="宋体" w:hAnsi="宋体" w:eastAsia="宋体"/>
                <w:b/>
                <w:bCs/>
                <w:sz w:val="18"/>
                <w:szCs w:val="22"/>
              </w:rPr>
              <w:t>量</w:t>
            </w:r>
            <w:r>
              <w:rPr>
                <w:rFonts w:ascii="宋体" w:hAnsi="宋体" w:eastAsia="宋体"/>
                <w:b/>
                <w:bCs/>
                <w:sz w:val="18"/>
                <w:szCs w:val="22"/>
              </w:rPr>
              <w:t>定额</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5"/>
              <w:gridCol w:w="1070"/>
              <w:gridCol w:w="900"/>
              <w:gridCol w:w="787"/>
              <w:gridCol w:w="900"/>
            </w:tblGrid>
            <w:tr w14:paraId="0E31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55" w:type="dxa"/>
                  <w:vAlign w:val="center"/>
                </w:tcPr>
                <w:p w14:paraId="65B6C9BB">
                  <w:pPr>
                    <w:spacing w:line="240" w:lineRule="auto"/>
                    <w:jc w:val="center"/>
                    <w:rPr>
                      <w:rFonts w:ascii="宋体" w:hAnsi="宋体" w:eastAsia="宋体"/>
                      <w:bCs/>
                      <w:sz w:val="18"/>
                      <w:szCs w:val="22"/>
                    </w:rPr>
                  </w:pPr>
                  <w:r>
                    <w:rPr>
                      <w:rFonts w:ascii="宋体" w:hAnsi="宋体" w:eastAsia="宋体"/>
                      <w:bCs/>
                      <w:sz w:val="18"/>
                      <w:szCs w:val="22"/>
                    </w:rPr>
                    <w:t>项目</w:t>
                  </w:r>
                </w:p>
              </w:tc>
              <w:tc>
                <w:tcPr>
                  <w:tcW w:w="1070" w:type="dxa"/>
                  <w:vAlign w:val="center"/>
                </w:tcPr>
                <w:p w14:paraId="3066043E">
                  <w:pPr>
                    <w:spacing w:line="240" w:lineRule="auto"/>
                    <w:jc w:val="center"/>
                    <w:rPr>
                      <w:rFonts w:ascii="宋体" w:hAnsi="宋体" w:eastAsia="宋体"/>
                      <w:bCs/>
                      <w:sz w:val="18"/>
                      <w:szCs w:val="22"/>
                    </w:rPr>
                  </w:pPr>
                  <w:r>
                    <w:rPr>
                      <w:rFonts w:ascii="宋体" w:hAnsi="宋体" w:eastAsia="宋体"/>
                      <w:bCs/>
                      <w:sz w:val="18"/>
                      <w:szCs w:val="22"/>
                    </w:rPr>
                    <w:t>设施标准</w:t>
                  </w:r>
                </w:p>
              </w:tc>
              <w:tc>
                <w:tcPr>
                  <w:tcW w:w="900" w:type="dxa"/>
                  <w:vAlign w:val="center"/>
                </w:tcPr>
                <w:p w14:paraId="54BD9B49">
                  <w:pPr>
                    <w:spacing w:line="240" w:lineRule="auto"/>
                    <w:jc w:val="center"/>
                    <w:rPr>
                      <w:rFonts w:ascii="宋体" w:hAnsi="宋体" w:eastAsia="宋体"/>
                      <w:bCs/>
                      <w:sz w:val="18"/>
                      <w:szCs w:val="22"/>
                    </w:rPr>
                  </w:pPr>
                  <w:r>
                    <w:rPr>
                      <w:rFonts w:ascii="宋体" w:hAnsi="宋体" w:eastAsia="宋体"/>
                      <w:bCs/>
                      <w:sz w:val="18"/>
                      <w:szCs w:val="22"/>
                    </w:rPr>
                    <w:t>单位</w:t>
                  </w:r>
                </w:p>
              </w:tc>
              <w:tc>
                <w:tcPr>
                  <w:tcW w:w="787" w:type="dxa"/>
                  <w:vAlign w:val="center"/>
                </w:tcPr>
                <w:p w14:paraId="08FB146B">
                  <w:pPr>
                    <w:spacing w:line="240" w:lineRule="auto"/>
                    <w:jc w:val="center"/>
                    <w:rPr>
                      <w:rFonts w:ascii="宋体" w:hAnsi="宋体" w:eastAsia="宋体"/>
                      <w:bCs/>
                      <w:sz w:val="18"/>
                      <w:szCs w:val="22"/>
                    </w:rPr>
                  </w:pPr>
                  <w:r>
                    <w:rPr>
                      <w:rFonts w:ascii="宋体" w:hAnsi="宋体" w:eastAsia="宋体"/>
                      <w:bCs/>
                      <w:sz w:val="18"/>
                      <w:szCs w:val="22"/>
                    </w:rPr>
                    <w:t>最高</w:t>
                  </w:r>
                  <w:r>
                    <w:rPr>
                      <w:rFonts w:ascii="宋体" w:hAnsi="宋体" w:eastAsia="宋体"/>
                      <w:bCs/>
                      <w:sz w:val="18"/>
                      <w:szCs w:val="22"/>
                    </w:rPr>
                    <w:br w:type="textWrapping"/>
                  </w:r>
                  <w:r>
                    <w:rPr>
                      <w:rFonts w:ascii="宋体" w:hAnsi="宋体" w:eastAsia="宋体"/>
                      <w:bCs/>
                      <w:sz w:val="18"/>
                      <w:szCs w:val="22"/>
                    </w:rPr>
                    <w:t>用水量</w:t>
                  </w:r>
                </w:p>
              </w:tc>
              <w:tc>
                <w:tcPr>
                  <w:tcW w:w="900" w:type="dxa"/>
                  <w:vAlign w:val="center"/>
                </w:tcPr>
                <w:p w14:paraId="234AF8A2">
                  <w:pPr>
                    <w:spacing w:line="240" w:lineRule="auto"/>
                    <w:jc w:val="center"/>
                    <w:rPr>
                      <w:rFonts w:ascii="宋体" w:hAnsi="宋体" w:eastAsia="宋体"/>
                      <w:bCs/>
                      <w:sz w:val="18"/>
                      <w:szCs w:val="22"/>
                    </w:rPr>
                  </w:pPr>
                  <w:r>
                    <w:rPr>
                      <w:rFonts w:ascii="宋体" w:hAnsi="宋体" w:eastAsia="宋体"/>
                      <w:bCs/>
                      <w:sz w:val="18"/>
                      <w:szCs w:val="22"/>
                    </w:rPr>
                    <w:t>小时变化系数</w:t>
                  </w:r>
                </w:p>
              </w:tc>
            </w:tr>
            <w:tr w14:paraId="5A87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restart"/>
                  <w:vAlign w:val="center"/>
                </w:tcPr>
                <w:p w14:paraId="0C0BED05">
                  <w:pPr>
                    <w:spacing w:line="240" w:lineRule="auto"/>
                    <w:jc w:val="center"/>
                    <w:rPr>
                      <w:rFonts w:ascii="宋体" w:hAnsi="宋体" w:eastAsia="宋体"/>
                      <w:bCs/>
                      <w:sz w:val="18"/>
                      <w:szCs w:val="22"/>
                    </w:rPr>
                  </w:pPr>
                  <w:r>
                    <w:rPr>
                      <w:rFonts w:ascii="宋体" w:hAnsi="宋体" w:eastAsia="宋体"/>
                      <w:bCs/>
                      <w:sz w:val="18"/>
                      <w:szCs w:val="22"/>
                    </w:rPr>
                    <w:t>每</w:t>
                  </w:r>
                </w:p>
                <w:p w14:paraId="40908074">
                  <w:pPr>
                    <w:spacing w:line="240" w:lineRule="auto"/>
                    <w:jc w:val="center"/>
                    <w:rPr>
                      <w:rFonts w:ascii="宋体" w:hAnsi="宋体" w:eastAsia="宋体"/>
                      <w:bCs/>
                      <w:sz w:val="18"/>
                      <w:szCs w:val="22"/>
                    </w:rPr>
                  </w:pPr>
                  <w:r>
                    <w:rPr>
                      <w:rFonts w:ascii="宋体" w:hAnsi="宋体" w:eastAsia="宋体"/>
                      <w:bCs/>
                      <w:sz w:val="18"/>
                      <w:szCs w:val="22"/>
                    </w:rPr>
                    <w:t>病</w:t>
                  </w:r>
                </w:p>
                <w:p w14:paraId="029CBF5B">
                  <w:pPr>
                    <w:spacing w:line="240" w:lineRule="auto"/>
                    <w:jc w:val="center"/>
                    <w:rPr>
                      <w:rFonts w:ascii="宋体" w:hAnsi="宋体" w:eastAsia="宋体"/>
                      <w:bCs/>
                      <w:sz w:val="18"/>
                      <w:szCs w:val="22"/>
                    </w:rPr>
                  </w:pPr>
                  <w:r>
                    <w:rPr>
                      <w:rFonts w:ascii="宋体" w:hAnsi="宋体" w:eastAsia="宋体"/>
                      <w:bCs/>
                      <w:sz w:val="18"/>
                      <w:szCs w:val="22"/>
                    </w:rPr>
                    <w:t>床</w:t>
                  </w:r>
                </w:p>
              </w:tc>
              <w:tc>
                <w:tcPr>
                  <w:tcW w:w="1070" w:type="dxa"/>
                  <w:vAlign w:val="center"/>
                </w:tcPr>
                <w:p w14:paraId="5265B809">
                  <w:pPr>
                    <w:spacing w:line="240" w:lineRule="auto"/>
                    <w:jc w:val="center"/>
                    <w:rPr>
                      <w:rFonts w:ascii="宋体" w:hAnsi="宋体" w:eastAsia="宋体"/>
                      <w:bCs/>
                      <w:sz w:val="18"/>
                      <w:szCs w:val="22"/>
                    </w:rPr>
                  </w:pPr>
                  <w:r>
                    <w:rPr>
                      <w:rFonts w:hint="eastAsia" w:ascii="宋体" w:hAnsi="宋体" w:eastAsia="宋体"/>
                      <w:bCs/>
                      <w:sz w:val="18"/>
                      <w:szCs w:val="22"/>
                    </w:rPr>
                    <w:t>公共</w:t>
                  </w:r>
                  <w:r>
                    <w:rPr>
                      <w:rFonts w:ascii="宋体" w:hAnsi="宋体" w:eastAsia="宋体"/>
                      <w:bCs/>
                      <w:sz w:val="18"/>
                      <w:szCs w:val="22"/>
                    </w:rPr>
                    <w:t>浴室、卫生间、盥洗</w:t>
                  </w:r>
                </w:p>
              </w:tc>
              <w:tc>
                <w:tcPr>
                  <w:tcW w:w="900" w:type="dxa"/>
                  <w:vAlign w:val="center"/>
                </w:tcPr>
                <w:p w14:paraId="23521108">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1E642FA2">
                  <w:pPr>
                    <w:spacing w:line="240" w:lineRule="auto"/>
                    <w:jc w:val="center"/>
                    <w:rPr>
                      <w:rFonts w:ascii="宋体" w:hAnsi="宋体" w:eastAsia="宋体"/>
                      <w:bCs/>
                      <w:sz w:val="18"/>
                      <w:szCs w:val="22"/>
                    </w:rPr>
                  </w:pPr>
                  <w:r>
                    <w:rPr>
                      <w:rFonts w:ascii="宋体" w:hAnsi="宋体" w:eastAsia="宋体"/>
                      <w:bCs/>
                      <w:sz w:val="18"/>
                      <w:szCs w:val="22"/>
                    </w:rPr>
                    <w:t>45</w:t>
                  </w:r>
                  <w:r>
                    <w:rPr>
                      <w:rFonts w:hint="eastAsia" w:ascii="宋体" w:hAnsi="宋体" w:eastAsia="宋体"/>
                      <w:bCs/>
                      <w:sz w:val="18"/>
                      <w:szCs w:val="22"/>
                    </w:rPr>
                    <w:t>～</w:t>
                  </w:r>
                  <w:r>
                    <w:rPr>
                      <w:rFonts w:ascii="宋体" w:hAnsi="宋体" w:eastAsia="宋体"/>
                      <w:bCs/>
                      <w:sz w:val="18"/>
                      <w:szCs w:val="22"/>
                    </w:rPr>
                    <w:t>100</w:t>
                  </w:r>
                </w:p>
              </w:tc>
              <w:tc>
                <w:tcPr>
                  <w:tcW w:w="900" w:type="dxa"/>
                  <w:vAlign w:val="center"/>
                </w:tcPr>
                <w:p w14:paraId="04841786">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736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0A6E48F6">
                  <w:pPr>
                    <w:spacing w:line="240" w:lineRule="auto"/>
                    <w:jc w:val="center"/>
                    <w:rPr>
                      <w:rFonts w:ascii="宋体" w:hAnsi="宋体" w:eastAsia="宋体"/>
                      <w:bCs/>
                      <w:sz w:val="18"/>
                      <w:szCs w:val="22"/>
                    </w:rPr>
                  </w:pPr>
                </w:p>
              </w:tc>
              <w:tc>
                <w:tcPr>
                  <w:tcW w:w="1070" w:type="dxa"/>
                  <w:vAlign w:val="center"/>
                </w:tcPr>
                <w:p w14:paraId="43F1B9D1">
                  <w:pPr>
                    <w:spacing w:line="240" w:lineRule="auto"/>
                    <w:jc w:val="center"/>
                    <w:rPr>
                      <w:rFonts w:ascii="宋体" w:hAnsi="宋体" w:eastAsia="宋体"/>
                      <w:bCs/>
                      <w:sz w:val="18"/>
                      <w:szCs w:val="22"/>
                    </w:rPr>
                  </w:pPr>
                  <w:r>
                    <w:rPr>
                      <w:rFonts w:hint="eastAsia" w:ascii="宋体" w:hAnsi="宋体" w:eastAsia="宋体"/>
                      <w:bCs/>
                      <w:sz w:val="18"/>
                      <w:szCs w:val="22"/>
                    </w:rPr>
                    <w:t>公共</w:t>
                  </w:r>
                  <w:r>
                    <w:rPr>
                      <w:rFonts w:ascii="宋体" w:hAnsi="宋体" w:eastAsia="宋体"/>
                      <w:bCs/>
                      <w:sz w:val="18"/>
                      <w:szCs w:val="22"/>
                    </w:rPr>
                    <w:t>浴室、病房设卫生间、盥洗</w:t>
                  </w:r>
                </w:p>
              </w:tc>
              <w:tc>
                <w:tcPr>
                  <w:tcW w:w="900" w:type="dxa"/>
                  <w:vAlign w:val="center"/>
                </w:tcPr>
                <w:p w14:paraId="2B726676">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5ED1870B">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～130</w:t>
                  </w:r>
                </w:p>
              </w:tc>
              <w:tc>
                <w:tcPr>
                  <w:tcW w:w="900" w:type="dxa"/>
                  <w:vAlign w:val="center"/>
                </w:tcPr>
                <w:p w14:paraId="2736AA75">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5D05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6FE41AC1">
                  <w:pPr>
                    <w:spacing w:line="240" w:lineRule="auto"/>
                    <w:jc w:val="center"/>
                    <w:rPr>
                      <w:rFonts w:ascii="宋体" w:hAnsi="宋体" w:eastAsia="宋体"/>
                      <w:bCs/>
                      <w:sz w:val="18"/>
                      <w:szCs w:val="22"/>
                    </w:rPr>
                  </w:pPr>
                </w:p>
              </w:tc>
              <w:tc>
                <w:tcPr>
                  <w:tcW w:w="1070" w:type="dxa"/>
                  <w:vAlign w:val="center"/>
                </w:tcPr>
                <w:p w14:paraId="1CE3576D">
                  <w:pPr>
                    <w:spacing w:line="240" w:lineRule="auto"/>
                    <w:jc w:val="center"/>
                    <w:rPr>
                      <w:rFonts w:ascii="宋体" w:hAnsi="宋体" w:eastAsia="宋体"/>
                      <w:bCs/>
                      <w:sz w:val="18"/>
                      <w:szCs w:val="22"/>
                    </w:rPr>
                  </w:pPr>
                  <w:r>
                    <w:rPr>
                      <w:rFonts w:ascii="宋体" w:hAnsi="宋体" w:eastAsia="宋体"/>
                      <w:bCs/>
                      <w:sz w:val="18"/>
                      <w:szCs w:val="22"/>
                    </w:rPr>
                    <w:t>病房设浴室、卫生间、盥洗</w:t>
                  </w:r>
                </w:p>
              </w:tc>
              <w:tc>
                <w:tcPr>
                  <w:tcW w:w="900" w:type="dxa"/>
                  <w:vAlign w:val="center"/>
                </w:tcPr>
                <w:p w14:paraId="589DA712">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331F3967">
                  <w:pPr>
                    <w:spacing w:line="240" w:lineRule="auto"/>
                    <w:jc w:val="center"/>
                    <w:rPr>
                      <w:rFonts w:ascii="宋体" w:hAnsi="宋体" w:eastAsia="宋体"/>
                      <w:bCs/>
                      <w:sz w:val="18"/>
                      <w:szCs w:val="22"/>
                    </w:rPr>
                  </w:pPr>
                  <w:r>
                    <w:rPr>
                      <w:rFonts w:ascii="宋体" w:hAnsi="宋体" w:eastAsia="宋体"/>
                      <w:bCs/>
                      <w:sz w:val="18"/>
                      <w:szCs w:val="22"/>
                    </w:rPr>
                    <w:t>110</w:t>
                  </w:r>
                  <w:r>
                    <w:rPr>
                      <w:rFonts w:hint="eastAsia" w:ascii="宋体" w:hAnsi="宋体" w:eastAsia="宋体"/>
                      <w:bCs/>
                      <w:sz w:val="18"/>
                      <w:szCs w:val="22"/>
                    </w:rPr>
                    <w:t>～</w:t>
                  </w:r>
                  <w:r>
                    <w:rPr>
                      <w:rFonts w:ascii="宋体" w:hAnsi="宋体" w:eastAsia="宋体"/>
                      <w:bCs/>
                      <w:sz w:val="18"/>
                      <w:szCs w:val="22"/>
                    </w:rPr>
                    <w:t>200</w:t>
                  </w:r>
                </w:p>
              </w:tc>
              <w:tc>
                <w:tcPr>
                  <w:tcW w:w="900" w:type="dxa"/>
                  <w:vAlign w:val="center"/>
                </w:tcPr>
                <w:p w14:paraId="4FE9F26B">
                  <w:pPr>
                    <w:spacing w:line="240" w:lineRule="auto"/>
                    <w:jc w:val="center"/>
                    <w:rPr>
                      <w:rFonts w:ascii="宋体" w:hAnsi="宋体" w:eastAsia="宋体"/>
                      <w:bCs/>
                      <w:sz w:val="18"/>
                      <w:szCs w:val="22"/>
                    </w:rPr>
                  </w:pPr>
                  <w:r>
                    <w:rPr>
                      <w:rFonts w:ascii="宋体" w:hAnsi="宋体" w:eastAsia="宋体"/>
                      <w:bCs/>
                      <w:sz w:val="18"/>
                      <w:szCs w:val="22"/>
                    </w:rPr>
                    <w:t>2.0</w:t>
                  </w:r>
                </w:p>
              </w:tc>
            </w:tr>
            <w:tr w14:paraId="7CE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430C8DF8">
                  <w:pPr>
                    <w:spacing w:line="240" w:lineRule="auto"/>
                    <w:jc w:val="center"/>
                    <w:rPr>
                      <w:rFonts w:ascii="宋体" w:hAnsi="宋体" w:eastAsia="宋体"/>
                      <w:bCs/>
                      <w:sz w:val="18"/>
                      <w:szCs w:val="22"/>
                    </w:rPr>
                  </w:pPr>
                </w:p>
              </w:tc>
              <w:tc>
                <w:tcPr>
                  <w:tcW w:w="1070" w:type="dxa"/>
                  <w:vAlign w:val="center"/>
                </w:tcPr>
                <w:p w14:paraId="53AF42DA">
                  <w:pPr>
                    <w:spacing w:line="240" w:lineRule="auto"/>
                    <w:jc w:val="center"/>
                    <w:rPr>
                      <w:rFonts w:ascii="宋体" w:hAnsi="宋体" w:eastAsia="宋体"/>
                      <w:bCs/>
                      <w:sz w:val="18"/>
                      <w:szCs w:val="22"/>
                    </w:rPr>
                  </w:pPr>
                  <w:r>
                    <w:rPr>
                      <w:rFonts w:ascii="宋体" w:hAnsi="宋体" w:eastAsia="宋体"/>
                      <w:bCs/>
                      <w:sz w:val="18"/>
                      <w:szCs w:val="22"/>
                    </w:rPr>
                    <w:t>贵宾病房</w:t>
                  </w:r>
                </w:p>
              </w:tc>
              <w:tc>
                <w:tcPr>
                  <w:tcW w:w="900" w:type="dxa"/>
                  <w:vAlign w:val="center"/>
                </w:tcPr>
                <w:p w14:paraId="05A48448">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137384E4">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300</w:t>
                  </w:r>
                </w:p>
              </w:tc>
              <w:tc>
                <w:tcPr>
                  <w:tcW w:w="900" w:type="dxa"/>
                  <w:vAlign w:val="center"/>
                </w:tcPr>
                <w:p w14:paraId="51BDE449">
                  <w:pPr>
                    <w:spacing w:line="240" w:lineRule="auto"/>
                    <w:jc w:val="center"/>
                    <w:rPr>
                      <w:rFonts w:ascii="宋体" w:hAnsi="宋体" w:eastAsia="宋体"/>
                      <w:bCs/>
                      <w:sz w:val="18"/>
                      <w:szCs w:val="22"/>
                    </w:rPr>
                  </w:pPr>
                  <w:r>
                    <w:rPr>
                      <w:rFonts w:ascii="宋体" w:hAnsi="宋体" w:eastAsia="宋体"/>
                      <w:bCs/>
                      <w:sz w:val="18"/>
                      <w:szCs w:val="22"/>
                    </w:rPr>
                    <w:t>2.0</w:t>
                  </w:r>
                </w:p>
              </w:tc>
            </w:tr>
            <w:tr w14:paraId="21C8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785787DF">
                  <w:pPr>
                    <w:spacing w:line="240" w:lineRule="auto"/>
                    <w:jc w:val="center"/>
                    <w:rPr>
                      <w:rFonts w:ascii="宋体" w:hAnsi="宋体" w:eastAsia="宋体"/>
                      <w:bCs/>
                      <w:sz w:val="18"/>
                      <w:szCs w:val="22"/>
                    </w:rPr>
                  </w:pPr>
                  <w:r>
                    <w:rPr>
                      <w:rFonts w:ascii="宋体" w:hAnsi="宋体" w:eastAsia="宋体"/>
                      <w:bCs/>
                      <w:sz w:val="18"/>
                      <w:szCs w:val="22"/>
                    </w:rPr>
                    <w:t>门</w:t>
                  </w:r>
                  <w:r>
                    <w:rPr>
                      <w:rFonts w:hint="eastAsia" w:ascii="宋体" w:hAnsi="宋体" w:eastAsia="宋体"/>
                      <w:bCs/>
                      <w:sz w:val="18"/>
                      <w:szCs w:val="22"/>
                    </w:rPr>
                    <w:t>、</w:t>
                  </w:r>
                  <w:r>
                    <w:rPr>
                      <w:rFonts w:ascii="宋体" w:hAnsi="宋体" w:eastAsia="宋体"/>
                      <w:bCs/>
                      <w:sz w:val="18"/>
                      <w:szCs w:val="22"/>
                    </w:rPr>
                    <w:t>急诊患者</w:t>
                  </w:r>
                </w:p>
              </w:tc>
              <w:tc>
                <w:tcPr>
                  <w:tcW w:w="900" w:type="dxa"/>
                  <w:vAlign w:val="center"/>
                </w:tcPr>
                <w:p w14:paraId="510477DD">
                  <w:pPr>
                    <w:spacing w:line="240" w:lineRule="auto"/>
                    <w:jc w:val="center"/>
                    <w:rPr>
                      <w:rFonts w:ascii="宋体" w:hAnsi="宋体" w:eastAsia="宋体"/>
                      <w:bCs/>
                      <w:sz w:val="18"/>
                      <w:szCs w:val="22"/>
                    </w:rPr>
                  </w:pPr>
                  <w:r>
                    <w:rPr>
                      <w:rFonts w:ascii="宋体" w:hAnsi="宋体" w:eastAsia="宋体"/>
                      <w:bCs/>
                      <w:sz w:val="18"/>
                      <w:szCs w:val="22"/>
                    </w:rPr>
                    <w:t>L/人·次</w:t>
                  </w:r>
                </w:p>
              </w:tc>
              <w:tc>
                <w:tcPr>
                  <w:tcW w:w="787" w:type="dxa"/>
                  <w:vAlign w:val="center"/>
                </w:tcPr>
                <w:p w14:paraId="33772AE2">
                  <w:pPr>
                    <w:spacing w:line="240" w:lineRule="auto"/>
                    <w:jc w:val="center"/>
                    <w:rPr>
                      <w:rFonts w:ascii="宋体" w:hAnsi="宋体" w:eastAsia="宋体"/>
                      <w:bCs/>
                      <w:sz w:val="18"/>
                      <w:szCs w:val="22"/>
                    </w:rPr>
                  </w:pPr>
                  <w:r>
                    <w:rPr>
                      <w:rFonts w:ascii="宋体" w:hAnsi="宋体" w:eastAsia="宋体"/>
                      <w:bCs/>
                      <w:sz w:val="18"/>
                      <w:szCs w:val="22"/>
                    </w:rPr>
                    <w:t>5</w:t>
                  </w:r>
                  <w:r>
                    <w:rPr>
                      <w:rFonts w:hint="eastAsia" w:ascii="宋体" w:hAnsi="宋体" w:eastAsia="宋体"/>
                      <w:bCs/>
                      <w:sz w:val="18"/>
                      <w:szCs w:val="22"/>
                    </w:rPr>
                    <w:t>～</w:t>
                  </w:r>
                  <w:r>
                    <w:rPr>
                      <w:rFonts w:ascii="宋体" w:hAnsi="宋体" w:eastAsia="宋体"/>
                      <w:bCs/>
                      <w:sz w:val="18"/>
                      <w:szCs w:val="22"/>
                    </w:rPr>
                    <w:t>8</w:t>
                  </w:r>
                </w:p>
              </w:tc>
              <w:tc>
                <w:tcPr>
                  <w:tcW w:w="900" w:type="dxa"/>
                  <w:vAlign w:val="center"/>
                </w:tcPr>
                <w:p w14:paraId="7DB4F285">
                  <w:pPr>
                    <w:spacing w:line="240" w:lineRule="auto"/>
                    <w:jc w:val="center"/>
                    <w:rPr>
                      <w:rFonts w:ascii="宋体" w:hAnsi="宋体" w:eastAsia="宋体"/>
                      <w:bCs/>
                      <w:sz w:val="18"/>
                      <w:szCs w:val="22"/>
                    </w:rPr>
                  </w:pPr>
                  <w:r>
                    <w:rPr>
                      <w:rFonts w:ascii="宋体" w:hAnsi="宋体" w:eastAsia="宋体"/>
                      <w:bCs/>
                      <w:sz w:val="18"/>
                      <w:szCs w:val="22"/>
                    </w:rPr>
                    <w:t>2.5</w:t>
                  </w:r>
                </w:p>
              </w:tc>
            </w:tr>
            <w:tr w14:paraId="5162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3007C4FF">
                  <w:pPr>
                    <w:spacing w:line="240" w:lineRule="auto"/>
                    <w:jc w:val="center"/>
                    <w:rPr>
                      <w:rFonts w:ascii="宋体" w:hAnsi="宋体" w:eastAsia="宋体"/>
                      <w:bCs/>
                      <w:sz w:val="18"/>
                      <w:szCs w:val="22"/>
                    </w:rPr>
                  </w:pPr>
                  <w:r>
                    <w:rPr>
                      <w:rFonts w:ascii="宋体" w:hAnsi="宋体" w:eastAsia="宋体"/>
                      <w:bCs/>
                      <w:sz w:val="18"/>
                      <w:szCs w:val="22"/>
                    </w:rPr>
                    <w:t>医务人员</w:t>
                  </w:r>
                </w:p>
              </w:tc>
              <w:tc>
                <w:tcPr>
                  <w:tcW w:w="900" w:type="dxa"/>
                  <w:vAlign w:val="center"/>
                </w:tcPr>
                <w:p w14:paraId="351D411B">
                  <w:pPr>
                    <w:spacing w:line="240" w:lineRule="auto"/>
                    <w:jc w:val="center"/>
                    <w:rPr>
                      <w:rFonts w:ascii="宋体" w:hAnsi="宋体" w:eastAsia="宋体"/>
                      <w:bCs/>
                      <w:sz w:val="18"/>
                      <w:szCs w:val="22"/>
                    </w:rPr>
                  </w:pPr>
                  <w:r>
                    <w:rPr>
                      <w:rFonts w:ascii="宋体" w:hAnsi="宋体" w:eastAsia="宋体"/>
                      <w:bCs/>
                      <w:sz w:val="18"/>
                      <w:szCs w:val="22"/>
                    </w:rPr>
                    <w:t>L/人·班</w:t>
                  </w:r>
                </w:p>
              </w:tc>
              <w:tc>
                <w:tcPr>
                  <w:tcW w:w="787" w:type="dxa"/>
                  <w:vAlign w:val="center"/>
                </w:tcPr>
                <w:p w14:paraId="3E5773D0">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～130</w:t>
                  </w:r>
                </w:p>
              </w:tc>
              <w:tc>
                <w:tcPr>
                  <w:tcW w:w="900" w:type="dxa"/>
                  <w:vAlign w:val="center"/>
                </w:tcPr>
                <w:p w14:paraId="3C02C595">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534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55C070B2">
                  <w:pPr>
                    <w:spacing w:line="240" w:lineRule="auto"/>
                    <w:jc w:val="center"/>
                    <w:rPr>
                      <w:rFonts w:ascii="宋体" w:hAnsi="宋体" w:eastAsia="宋体"/>
                      <w:bCs/>
                      <w:sz w:val="18"/>
                      <w:szCs w:val="22"/>
                    </w:rPr>
                  </w:pPr>
                  <w:r>
                    <w:rPr>
                      <w:rFonts w:ascii="宋体" w:hAnsi="宋体" w:eastAsia="宋体"/>
                      <w:bCs/>
                      <w:sz w:val="18"/>
                      <w:szCs w:val="22"/>
                    </w:rPr>
                    <w:t>医院后勤职工</w:t>
                  </w:r>
                </w:p>
              </w:tc>
              <w:tc>
                <w:tcPr>
                  <w:tcW w:w="900" w:type="dxa"/>
                  <w:vAlign w:val="center"/>
                </w:tcPr>
                <w:p w14:paraId="52B02F29">
                  <w:pPr>
                    <w:spacing w:line="240" w:lineRule="auto"/>
                    <w:jc w:val="center"/>
                    <w:rPr>
                      <w:rFonts w:ascii="宋体" w:hAnsi="宋体" w:eastAsia="宋体"/>
                      <w:bCs/>
                      <w:sz w:val="18"/>
                      <w:szCs w:val="22"/>
                    </w:rPr>
                  </w:pPr>
                  <w:r>
                    <w:rPr>
                      <w:rFonts w:ascii="宋体" w:hAnsi="宋体" w:eastAsia="宋体"/>
                      <w:bCs/>
                      <w:sz w:val="18"/>
                      <w:szCs w:val="22"/>
                    </w:rPr>
                    <w:t>L/人·班</w:t>
                  </w:r>
                </w:p>
              </w:tc>
              <w:tc>
                <w:tcPr>
                  <w:tcW w:w="787" w:type="dxa"/>
                  <w:vAlign w:val="center"/>
                </w:tcPr>
                <w:p w14:paraId="4C0E1135">
                  <w:pPr>
                    <w:spacing w:line="240" w:lineRule="auto"/>
                    <w:jc w:val="center"/>
                    <w:rPr>
                      <w:rFonts w:ascii="宋体" w:hAnsi="宋体" w:eastAsia="宋体"/>
                      <w:bCs/>
                      <w:sz w:val="18"/>
                      <w:szCs w:val="22"/>
                    </w:rPr>
                  </w:pPr>
                  <w:r>
                    <w:rPr>
                      <w:rFonts w:ascii="宋体" w:hAnsi="宋体" w:eastAsia="宋体"/>
                      <w:bCs/>
                      <w:sz w:val="18"/>
                      <w:szCs w:val="22"/>
                    </w:rPr>
                    <w:t>30</w:t>
                  </w:r>
                  <w:r>
                    <w:rPr>
                      <w:rFonts w:hint="eastAsia" w:ascii="宋体" w:hAnsi="宋体" w:eastAsia="宋体"/>
                      <w:bCs/>
                      <w:sz w:val="18"/>
                      <w:szCs w:val="22"/>
                    </w:rPr>
                    <w:t>～</w:t>
                  </w:r>
                  <w:r>
                    <w:rPr>
                      <w:rFonts w:ascii="宋体" w:hAnsi="宋体" w:eastAsia="宋体"/>
                      <w:bCs/>
                      <w:sz w:val="18"/>
                      <w:szCs w:val="22"/>
                    </w:rPr>
                    <w:t>45</w:t>
                  </w:r>
                </w:p>
              </w:tc>
              <w:tc>
                <w:tcPr>
                  <w:tcW w:w="900" w:type="dxa"/>
                  <w:vAlign w:val="center"/>
                </w:tcPr>
                <w:p w14:paraId="52B70BE0">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5B22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1425" w:type="dxa"/>
                  <w:gridSpan w:val="2"/>
                  <w:vAlign w:val="center"/>
                </w:tcPr>
                <w:p w14:paraId="272C42DB">
                  <w:pPr>
                    <w:spacing w:line="240" w:lineRule="auto"/>
                    <w:jc w:val="center"/>
                    <w:rPr>
                      <w:rFonts w:ascii="宋体" w:hAnsi="宋体" w:eastAsia="宋体"/>
                      <w:bCs/>
                      <w:sz w:val="18"/>
                      <w:szCs w:val="22"/>
                    </w:rPr>
                  </w:pPr>
                  <w:r>
                    <w:rPr>
                      <w:rFonts w:ascii="宋体" w:hAnsi="宋体" w:eastAsia="宋体"/>
                      <w:bCs/>
                      <w:sz w:val="18"/>
                      <w:szCs w:val="22"/>
                    </w:rPr>
                    <w:t>食堂</w:t>
                  </w:r>
                </w:p>
              </w:tc>
              <w:tc>
                <w:tcPr>
                  <w:tcW w:w="900" w:type="dxa"/>
                  <w:vAlign w:val="center"/>
                </w:tcPr>
                <w:p w14:paraId="680D8999">
                  <w:pPr>
                    <w:spacing w:line="240" w:lineRule="auto"/>
                    <w:jc w:val="center"/>
                    <w:rPr>
                      <w:rFonts w:ascii="宋体" w:hAnsi="宋体" w:eastAsia="宋体"/>
                      <w:bCs/>
                      <w:sz w:val="18"/>
                      <w:szCs w:val="22"/>
                    </w:rPr>
                  </w:pPr>
                  <w:r>
                    <w:rPr>
                      <w:rFonts w:ascii="宋体" w:hAnsi="宋体" w:eastAsia="宋体"/>
                      <w:bCs/>
                      <w:sz w:val="18"/>
                      <w:szCs w:val="22"/>
                    </w:rPr>
                    <w:t>L/人·次</w:t>
                  </w:r>
                </w:p>
              </w:tc>
              <w:tc>
                <w:tcPr>
                  <w:tcW w:w="787" w:type="dxa"/>
                  <w:vAlign w:val="center"/>
                </w:tcPr>
                <w:p w14:paraId="6A649BB4">
                  <w:pPr>
                    <w:spacing w:line="240" w:lineRule="auto"/>
                    <w:jc w:val="center"/>
                    <w:rPr>
                      <w:rFonts w:ascii="宋体" w:hAnsi="宋体" w:eastAsia="宋体"/>
                      <w:bCs/>
                      <w:sz w:val="18"/>
                      <w:szCs w:val="22"/>
                    </w:rPr>
                  </w:pPr>
                  <w:r>
                    <w:rPr>
                      <w:rFonts w:ascii="宋体" w:hAnsi="宋体" w:eastAsia="宋体"/>
                      <w:bCs/>
                      <w:sz w:val="18"/>
                      <w:szCs w:val="22"/>
                    </w:rPr>
                    <w:t>7</w:t>
                  </w:r>
                  <w:r>
                    <w:rPr>
                      <w:rFonts w:hint="eastAsia" w:ascii="宋体" w:hAnsi="宋体" w:eastAsia="宋体"/>
                      <w:bCs/>
                      <w:sz w:val="18"/>
                      <w:szCs w:val="22"/>
                    </w:rPr>
                    <w:t>～</w:t>
                  </w:r>
                  <w:r>
                    <w:rPr>
                      <w:rFonts w:ascii="宋体" w:hAnsi="宋体" w:eastAsia="宋体"/>
                      <w:bCs/>
                      <w:sz w:val="18"/>
                      <w:szCs w:val="22"/>
                    </w:rPr>
                    <w:t>10</w:t>
                  </w:r>
                </w:p>
              </w:tc>
              <w:tc>
                <w:tcPr>
                  <w:tcW w:w="900" w:type="dxa"/>
                  <w:vAlign w:val="center"/>
                </w:tcPr>
                <w:p w14:paraId="30B64286">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1.5</w:t>
                  </w:r>
                </w:p>
              </w:tc>
            </w:tr>
            <w:tr w14:paraId="6E02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1425" w:type="dxa"/>
                  <w:gridSpan w:val="2"/>
                  <w:vAlign w:val="center"/>
                </w:tcPr>
                <w:p w14:paraId="65AC4312">
                  <w:pPr>
                    <w:spacing w:line="240" w:lineRule="auto"/>
                    <w:jc w:val="center"/>
                    <w:rPr>
                      <w:rFonts w:ascii="宋体" w:hAnsi="宋体" w:eastAsia="宋体"/>
                      <w:bCs/>
                      <w:sz w:val="18"/>
                      <w:szCs w:val="22"/>
                    </w:rPr>
                  </w:pPr>
                  <w:r>
                    <w:rPr>
                      <w:rFonts w:ascii="宋体" w:hAnsi="宋体" w:eastAsia="宋体"/>
                      <w:bCs/>
                      <w:sz w:val="18"/>
                      <w:szCs w:val="22"/>
                    </w:rPr>
                    <w:t>洗衣</w:t>
                  </w:r>
                </w:p>
              </w:tc>
              <w:tc>
                <w:tcPr>
                  <w:tcW w:w="900" w:type="dxa"/>
                  <w:vAlign w:val="center"/>
                </w:tcPr>
                <w:p w14:paraId="1C960626">
                  <w:pPr>
                    <w:spacing w:line="240" w:lineRule="auto"/>
                    <w:jc w:val="center"/>
                    <w:rPr>
                      <w:rFonts w:ascii="宋体" w:hAnsi="宋体" w:eastAsia="宋体"/>
                      <w:bCs/>
                      <w:sz w:val="18"/>
                      <w:szCs w:val="22"/>
                    </w:rPr>
                  </w:pPr>
                  <w:r>
                    <w:rPr>
                      <w:rFonts w:ascii="宋体" w:hAnsi="宋体" w:eastAsia="宋体"/>
                      <w:bCs/>
                      <w:sz w:val="18"/>
                      <w:szCs w:val="22"/>
                    </w:rPr>
                    <w:t>L/kg</w:t>
                  </w:r>
                </w:p>
              </w:tc>
              <w:tc>
                <w:tcPr>
                  <w:tcW w:w="787" w:type="dxa"/>
                  <w:vAlign w:val="center"/>
                </w:tcPr>
                <w:p w14:paraId="427695E7">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30</w:t>
                  </w:r>
                </w:p>
              </w:tc>
              <w:tc>
                <w:tcPr>
                  <w:tcW w:w="900" w:type="dxa"/>
                  <w:vAlign w:val="center"/>
                </w:tcPr>
                <w:p w14:paraId="5A619E4D">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1.0</w:t>
                  </w:r>
                </w:p>
              </w:tc>
            </w:tr>
          </w:tbl>
          <w:p w14:paraId="7D55531A"/>
        </w:tc>
        <w:tc>
          <w:tcPr>
            <w:tcW w:w="4261" w:type="dxa"/>
          </w:tcPr>
          <w:p w14:paraId="4D61F678">
            <w:pPr>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4</w:t>
            </w:r>
            <w:r>
              <w:rPr>
                <w:rFonts w:hint="eastAsia" w:ascii="宋体" w:hAnsi="宋体" w:eastAsia="宋体" w:cs="宋体"/>
                <w:bCs/>
                <w:kern w:val="0"/>
              </w:rPr>
              <w:t>.</w:t>
            </w:r>
            <w:r>
              <w:rPr>
                <w:rFonts w:ascii="宋体" w:hAnsi="宋体" w:eastAsia="宋体" w:cs="宋体"/>
                <w:bCs/>
                <w:kern w:val="0"/>
              </w:rPr>
              <w:t>1</w:t>
            </w:r>
            <w:r>
              <w:rPr>
                <w:rFonts w:hint="eastAsia" w:ascii="宋体" w:hAnsi="宋体" w:eastAsia="宋体" w:cs="宋体"/>
                <w:bCs/>
                <w:kern w:val="0"/>
              </w:rPr>
              <w:t xml:space="preserve"> </w:t>
            </w:r>
            <w:r>
              <w:rPr>
                <w:rFonts w:ascii="宋体" w:hAnsi="宋体" w:eastAsia="宋体" w:cs="宋体"/>
                <w:kern w:val="0"/>
              </w:rPr>
              <w:t>医院生活热水</w:t>
            </w:r>
            <w:r>
              <w:rPr>
                <w:rFonts w:ascii="宋体" w:hAnsi="宋体" w:eastAsia="宋体" w:cs="宋体"/>
                <w:kern w:val="0"/>
                <w:u w:val="single"/>
              </w:rPr>
              <w:t>设计用水定额应根据当地冷水用水量和用水构成等经计算确定</w:t>
            </w:r>
            <w:r>
              <w:rPr>
                <w:rFonts w:hint="eastAsia" w:ascii="宋体" w:hAnsi="宋体" w:eastAsia="宋体" w:cs="宋体"/>
                <w:kern w:val="0"/>
                <w:u w:val="single"/>
              </w:rPr>
              <w:t>，</w:t>
            </w:r>
            <w:r>
              <w:rPr>
                <w:rFonts w:ascii="宋体" w:hAnsi="宋体" w:eastAsia="宋体" w:cs="宋体"/>
                <w:kern w:val="0"/>
                <w:u w:val="single"/>
              </w:rPr>
              <w:t>当无用水构成时</w:t>
            </w:r>
            <w:r>
              <w:rPr>
                <w:rFonts w:hint="eastAsia" w:ascii="宋体" w:hAnsi="宋体" w:eastAsia="宋体" w:cs="宋体"/>
                <w:kern w:val="0"/>
                <w:u w:val="single"/>
              </w:rPr>
              <w:t>，</w:t>
            </w:r>
            <w:r>
              <w:rPr>
                <w:rFonts w:ascii="宋体" w:hAnsi="宋体" w:eastAsia="宋体" w:cs="宋体"/>
                <w:kern w:val="0"/>
              </w:rPr>
              <w:t>用水量定额及其计算温度，应符合下列要求：</w:t>
            </w:r>
          </w:p>
          <w:p w14:paraId="42393455">
            <w:pPr>
              <w:ind w:firstLine="480" w:firstLineChars="200"/>
              <w:rPr>
                <w:rFonts w:ascii="宋体" w:hAnsi="宋体" w:eastAsia="宋体" w:cs="宋体"/>
                <w:kern w:val="0"/>
              </w:rPr>
            </w:pPr>
            <w:r>
              <w:rPr>
                <w:rFonts w:ascii="宋体" w:hAnsi="宋体" w:eastAsia="宋体" w:cs="宋体"/>
                <w:kern w:val="0"/>
              </w:rPr>
              <w:t>1 医院生活热水用水量定额宜符合表6</w:t>
            </w:r>
            <w:r>
              <w:rPr>
                <w:rFonts w:hint="eastAsia" w:ascii="宋体" w:hAnsi="宋体" w:eastAsia="宋体" w:cs="宋体"/>
                <w:kern w:val="0"/>
              </w:rPr>
              <w:t>.</w:t>
            </w:r>
            <w:r>
              <w:rPr>
                <w:rFonts w:ascii="宋体" w:hAnsi="宋体" w:eastAsia="宋体" w:cs="宋体"/>
                <w:kern w:val="0"/>
              </w:rPr>
              <w:t>4</w:t>
            </w:r>
            <w:r>
              <w:rPr>
                <w:rFonts w:hint="eastAsia" w:ascii="宋体" w:hAnsi="宋体" w:eastAsia="宋体" w:cs="宋体"/>
                <w:kern w:val="0"/>
              </w:rPr>
              <w:t>.</w:t>
            </w:r>
            <w:r>
              <w:rPr>
                <w:rFonts w:ascii="宋体" w:hAnsi="宋体" w:eastAsia="宋体" w:cs="宋体"/>
                <w:kern w:val="0"/>
              </w:rPr>
              <w:t>1的规定，医疗用水应根据工艺确定；</w:t>
            </w:r>
          </w:p>
          <w:p w14:paraId="27997972">
            <w:pPr>
              <w:ind w:firstLine="480" w:firstLineChars="200"/>
              <w:rPr>
                <w:rFonts w:ascii="宋体" w:hAnsi="宋体" w:eastAsia="宋体" w:cs="宋体"/>
                <w:kern w:val="0"/>
              </w:rPr>
            </w:pPr>
            <w:r>
              <w:rPr>
                <w:rFonts w:ascii="宋体" w:hAnsi="宋体" w:eastAsia="宋体" w:cs="宋体"/>
                <w:kern w:val="0"/>
              </w:rPr>
              <w:t>2 医疗用热水温度应根据工艺确定，其他用途的热水水温宜按60℃设计。</w:t>
            </w:r>
          </w:p>
          <w:p w14:paraId="45D4D8B7">
            <w:pPr>
              <w:jc w:val="center"/>
              <w:rPr>
                <w:rFonts w:ascii="宋体" w:hAnsi="宋体" w:eastAsia="宋体"/>
                <w:b/>
                <w:bCs/>
                <w:sz w:val="18"/>
                <w:szCs w:val="22"/>
              </w:rPr>
            </w:pPr>
            <w:r>
              <w:rPr>
                <w:rFonts w:ascii="宋体" w:hAnsi="宋体" w:eastAsia="宋体"/>
                <w:b/>
                <w:bCs/>
                <w:sz w:val="18"/>
                <w:szCs w:val="22"/>
              </w:rPr>
              <w:t>表</w:t>
            </w:r>
            <w:r>
              <w:rPr>
                <w:rFonts w:hint="eastAsia" w:ascii="宋体" w:hAnsi="宋体" w:eastAsia="宋体"/>
                <w:b/>
                <w:bCs/>
                <w:sz w:val="18"/>
                <w:szCs w:val="22"/>
              </w:rPr>
              <w:t xml:space="preserve">6.4.1 </w:t>
            </w:r>
            <w:r>
              <w:rPr>
                <w:rFonts w:ascii="宋体" w:hAnsi="宋体" w:eastAsia="宋体"/>
                <w:b/>
                <w:bCs/>
                <w:sz w:val="18"/>
                <w:szCs w:val="22"/>
              </w:rPr>
              <w:t>医院生活热水（60</w:t>
            </w:r>
            <w:r>
              <w:rPr>
                <w:rFonts w:hint="eastAsia" w:ascii="宋体" w:hAnsi="宋体" w:eastAsia="宋体"/>
                <w:b/>
                <w:bCs/>
                <w:sz w:val="18"/>
                <w:szCs w:val="22"/>
              </w:rPr>
              <w:t>℃</w:t>
            </w:r>
            <w:r>
              <w:rPr>
                <w:rFonts w:ascii="宋体" w:hAnsi="宋体" w:eastAsia="宋体"/>
                <w:b/>
                <w:bCs/>
                <w:sz w:val="18"/>
                <w:szCs w:val="22"/>
              </w:rPr>
              <w:t>）用水</w:t>
            </w:r>
            <w:r>
              <w:rPr>
                <w:rFonts w:hint="eastAsia" w:ascii="宋体" w:hAnsi="宋体" w:eastAsia="宋体"/>
                <w:b/>
                <w:bCs/>
                <w:sz w:val="18"/>
                <w:szCs w:val="22"/>
              </w:rPr>
              <w:t>量</w:t>
            </w:r>
            <w:r>
              <w:rPr>
                <w:rFonts w:ascii="宋体" w:hAnsi="宋体" w:eastAsia="宋体"/>
                <w:b/>
                <w:bCs/>
                <w:sz w:val="18"/>
                <w:szCs w:val="22"/>
              </w:rPr>
              <w:t>定额</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5"/>
              <w:gridCol w:w="1070"/>
              <w:gridCol w:w="900"/>
              <w:gridCol w:w="787"/>
              <w:gridCol w:w="900"/>
            </w:tblGrid>
            <w:tr w14:paraId="4E5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55" w:type="dxa"/>
                  <w:vAlign w:val="center"/>
                </w:tcPr>
                <w:p w14:paraId="118AB734">
                  <w:pPr>
                    <w:spacing w:line="240" w:lineRule="auto"/>
                    <w:jc w:val="center"/>
                    <w:rPr>
                      <w:rFonts w:ascii="宋体" w:hAnsi="宋体" w:eastAsia="宋体"/>
                      <w:bCs/>
                      <w:sz w:val="18"/>
                      <w:szCs w:val="22"/>
                    </w:rPr>
                  </w:pPr>
                  <w:r>
                    <w:rPr>
                      <w:rFonts w:ascii="宋体" w:hAnsi="宋体" w:eastAsia="宋体"/>
                      <w:bCs/>
                      <w:sz w:val="18"/>
                      <w:szCs w:val="22"/>
                    </w:rPr>
                    <w:t>项目</w:t>
                  </w:r>
                </w:p>
              </w:tc>
              <w:tc>
                <w:tcPr>
                  <w:tcW w:w="1070" w:type="dxa"/>
                  <w:vAlign w:val="center"/>
                </w:tcPr>
                <w:p w14:paraId="11A30DC0">
                  <w:pPr>
                    <w:spacing w:line="240" w:lineRule="auto"/>
                    <w:jc w:val="center"/>
                    <w:rPr>
                      <w:rFonts w:ascii="宋体" w:hAnsi="宋体" w:eastAsia="宋体"/>
                      <w:bCs/>
                      <w:sz w:val="18"/>
                      <w:szCs w:val="22"/>
                    </w:rPr>
                  </w:pPr>
                  <w:r>
                    <w:rPr>
                      <w:rFonts w:ascii="宋体" w:hAnsi="宋体" w:eastAsia="宋体"/>
                      <w:bCs/>
                      <w:sz w:val="18"/>
                      <w:szCs w:val="22"/>
                    </w:rPr>
                    <w:t>设施标准</w:t>
                  </w:r>
                </w:p>
              </w:tc>
              <w:tc>
                <w:tcPr>
                  <w:tcW w:w="900" w:type="dxa"/>
                  <w:vAlign w:val="center"/>
                </w:tcPr>
                <w:p w14:paraId="375339A5">
                  <w:pPr>
                    <w:spacing w:line="240" w:lineRule="auto"/>
                    <w:jc w:val="center"/>
                    <w:rPr>
                      <w:rFonts w:ascii="宋体" w:hAnsi="宋体" w:eastAsia="宋体"/>
                      <w:bCs/>
                      <w:sz w:val="18"/>
                      <w:szCs w:val="22"/>
                    </w:rPr>
                  </w:pPr>
                  <w:r>
                    <w:rPr>
                      <w:rFonts w:ascii="宋体" w:hAnsi="宋体" w:eastAsia="宋体"/>
                      <w:bCs/>
                      <w:sz w:val="18"/>
                      <w:szCs w:val="22"/>
                    </w:rPr>
                    <w:t>单位</w:t>
                  </w:r>
                </w:p>
              </w:tc>
              <w:tc>
                <w:tcPr>
                  <w:tcW w:w="787" w:type="dxa"/>
                  <w:vAlign w:val="center"/>
                </w:tcPr>
                <w:p w14:paraId="0ED73FF1">
                  <w:pPr>
                    <w:spacing w:line="240" w:lineRule="auto"/>
                    <w:jc w:val="center"/>
                    <w:rPr>
                      <w:rFonts w:ascii="宋体" w:hAnsi="宋体" w:eastAsia="宋体"/>
                      <w:bCs/>
                      <w:sz w:val="18"/>
                      <w:szCs w:val="22"/>
                    </w:rPr>
                  </w:pPr>
                  <w:r>
                    <w:rPr>
                      <w:rFonts w:ascii="宋体" w:hAnsi="宋体" w:eastAsia="宋体"/>
                      <w:bCs/>
                      <w:sz w:val="18"/>
                      <w:szCs w:val="22"/>
                    </w:rPr>
                    <w:t>最高</w:t>
                  </w:r>
                  <w:r>
                    <w:rPr>
                      <w:rFonts w:ascii="宋体" w:hAnsi="宋体" w:eastAsia="宋体"/>
                      <w:bCs/>
                      <w:sz w:val="18"/>
                      <w:szCs w:val="22"/>
                    </w:rPr>
                    <w:br w:type="textWrapping"/>
                  </w:r>
                  <w:r>
                    <w:rPr>
                      <w:rFonts w:ascii="宋体" w:hAnsi="宋体" w:eastAsia="宋体"/>
                      <w:bCs/>
                      <w:sz w:val="18"/>
                      <w:szCs w:val="22"/>
                    </w:rPr>
                    <w:t>用水量</w:t>
                  </w:r>
                </w:p>
              </w:tc>
              <w:tc>
                <w:tcPr>
                  <w:tcW w:w="900" w:type="dxa"/>
                  <w:vAlign w:val="center"/>
                </w:tcPr>
                <w:p w14:paraId="72BCC196">
                  <w:pPr>
                    <w:spacing w:line="240" w:lineRule="auto"/>
                    <w:jc w:val="center"/>
                    <w:rPr>
                      <w:rFonts w:ascii="宋体" w:hAnsi="宋体" w:eastAsia="宋体"/>
                      <w:bCs/>
                      <w:sz w:val="18"/>
                      <w:szCs w:val="22"/>
                    </w:rPr>
                  </w:pPr>
                  <w:r>
                    <w:rPr>
                      <w:rFonts w:ascii="宋体" w:hAnsi="宋体" w:eastAsia="宋体"/>
                      <w:bCs/>
                      <w:sz w:val="18"/>
                      <w:szCs w:val="22"/>
                    </w:rPr>
                    <w:t>小时变化系数</w:t>
                  </w:r>
                </w:p>
              </w:tc>
            </w:tr>
            <w:tr w14:paraId="6AF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restart"/>
                  <w:vAlign w:val="center"/>
                </w:tcPr>
                <w:p w14:paraId="28E8EFA8">
                  <w:pPr>
                    <w:spacing w:line="240" w:lineRule="auto"/>
                    <w:jc w:val="center"/>
                    <w:rPr>
                      <w:rFonts w:ascii="宋体" w:hAnsi="宋体" w:eastAsia="宋体"/>
                      <w:bCs/>
                      <w:sz w:val="18"/>
                      <w:szCs w:val="22"/>
                    </w:rPr>
                  </w:pPr>
                  <w:r>
                    <w:rPr>
                      <w:rFonts w:ascii="宋体" w:hAnsi="宋体" w:eastAsia="宋体"/>
                      <w:bCs/>
                      <w:sz w:val="18"/>
                      <w:szCs w:val="22"/>
                    </w:rPr>
                    <w:t>每</w:t>
                  </w:r>
                </w:p>
                <w:p w14:paraId="0B3ECC50">
                  <w:pPr>
                    <w:spacing w:line="240" w:lineRule="auto"/>
                    <w:jc w:val="center"/>
                    <w:rPr>
                      <w:rFonts w:ascii="宋体" w:hAnsi="宋体" w:eastAsia="宋体"/>
                      <w:bCs/>
                      <w:sz w:val="18"/>
                      <w:szCs w:val="22"/>
                    </w:rPr>
                  </w:pPr>
                  <w:r>
                    <w:rPr>
                      <w:rFonts w:ascii="宋体" w:hAnsi="宋体" w:eastAsia="宋体"/>
                      <w:bCs/>
                      <w:sz w:val="18"/>
                      <w:szCs w:val="22"/>
                    </w:rPr>
                    <w:t>病</w:t>
                  </w:r>
                </w:p>
                <w:p w14:paraId="0330C918">
                  <w:pPr>
                    <w:spacing w:line="240" w:lineRule="auto"/>
                    <w:jc w:val="center"/>
                    <w:rPr>
                      <w:rFonts w:ascii="宋体" w:hAnsi="宋体" w:eastAsia="宋体"/>
                      <w:bCs/>
                      <w:sz w:val="18"/>
                      <w:szCs w:val="22"/>
                    </w:rPr>
                  </w:pPr>
                  <w:r>
                    <w:rPr>
                      <w:rFonts w:ascii="宋体" w:hAnsi="宋体" w:eastAsia="宋体"/>
                      <w:bCs/>
                      <w:sz w:val="18"/>
                      <w:szCs w:val="22"/>
                    </w:rPr>
                    <w:t>床</w:t>
                  </w:r>
                </w:p>
              </w:tc>
              <w:tc>
                <w:tcPr>
                  <w:tcW w:w="1070" w:type="dxa"/>
                  <w:vAlign w:val="center"/>
                </w:tcPr>
                <w:p w14:paraId="019F61C2">
                  <w:pPr>
                    <w:spacing w:line="240" w:lineRule="auto"/>
                    <w:jc w:val="center"/>
                    <w:rPr>
                      <w:rFonts w:ascii="宋体" w:hAnsi="宋体" w:eastAsia="宋体"/>
                      <w:bCs/>
                      <w:sz w:val="18"/>
                      <w:szCs w:val="22"/>
                    </w:rPr>
                  </w:pPr>
                  <w:r>
                    <w:rPr>
                      <w:rFonts w:hint="eastAsia" w:ascii="宋体" w:hAnsi="宋体" w:eastAsia="宋体"/>
                      <w:bCs/>
                      <w:sz w:val="18"/>
                      <w:szCs w:val="22"/>
                    </w:rPr>
                    <w:t>公共</w:t>
                  </w:r>
                  <w:r>
                    <w:rPr>
                      <w:rFonts w:ascii="宋体" w:hAnsi="宋体" w:eastAsia="宋体"/>
                      <w:bCs/>
                      <w:sz w:val="18"/>
                      <w:szCs w:val="22"/>
                    </w:rPr>
                    <w:t>浴室、卫生间、盥洗</w:t>
                  </w:r>
                </w:p>
              </w:tc>
              <w:tc>
                <w:tcPr>
                  <w:tcW w:w="900" w:type="dxa"/>
                  <w:vAlign w:val="center"/>
                </w:tcPr>
                <w:p w14:paraId="5A760042">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7BF4B7F6">
                  <w:pPr>
                    <w:spacing w:line="240" w:lineRule="auto"/>
                    <w:jc w:val="center"/>
                    <w:rPr>
                      <w:rFonts w:ascii="宋体" w:hAnsi="宋体" w:eastAsia="宋体"/>
                      <w:bCs/>
                      <w:sz w:val="18"/>
                      <w:szCs w:val="22"/>
                    </w:rPr>
                  </w:pPr>
                  <w:r>
                    <w:rPr>
                      <w:rFonts w:ascii="宋体" w:hAnsi="宋体" w:eastAsia="宋体"/>
                      <w:bCs/>
                      <w:sz w:val="18"/>
                      <w:szCs w:val="22"/>
                    </w:rPr>
                    <w:t>45</w:t>
                  </w:r>
                  <w:r>
                    <w:rPr>
                      <w:rFonts w:hint="eastAsia" w:ascii="宋体" w:hAnsi="宋体" w:eastAsia="宋体"/>
                      <w:bCs/>
                      <w:sz w:val="18"/>
                      <w:szCs w:val="22"/>
                    </w:rPr>
                    <w:t>～</w:t>
                  </w:r>
                  <w:r>
                    <w:rPr>
                      <w:rFonts w:ascii="宋体" w:hAnsi="宋体" w:eastAsia="宋体"/>
                      <w:bCs/>
                      <w:sz w:val="18"/>
                      <w:szCs w:val="22"/>
                    </w:rPr>
                    <w:t>100</w:t>
                  </w:r>
                </w:p>
              </w:tc>
              <w:tc>
                <w:tcPr>
                  <w:tcW w:w="900" w:type="dxa"/>
                  <w:vAlign w:val="center"/>
                </w:tcPr>
                <w:p w14:paraId="76425D36">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29A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4F4E66AC">
                  <w:pPr>
                    <w:spacing w:line="240" w:lineRule="auto"/>
                    <w:jc w:val="center"/>
                    <w:rPr>
                      <w:rFonts w:ascii="宋体" w:hAnsi="宋体" w:eastAsia="宋体"/>
                      <w:bCs/>
                      <w:sz w:val="18"/>
                      <w:szCs w:val="22"/>
                    </w:rPr>
                  </w:pPr>
                </w:p>
              </w:tc>
              <w:tc>
                <w:tcPr>
                  <w:tcW w:w="1070" w:type="dxa"/>
                  <w:vAlign w:val="center"/>
                </w:tcPr>
                <w:p w14:paraId="0DC5BCDD">
                  <w:pPr>
                    <w:spacing w:line="240" w:lineRule="auto"/>
                    <w:jc w:val="center"/>
                    <w:rPr>
                      <w:rFonts w:ascii="宋体" w:hAnsi="宋体" w:eastAsia="宋体"/>
                      <w:bCs/>
                      <w:sz w:val="18"/>
                      <w:szCs w:val="22"/>
                    </w:rPr>
                  </w:pPr>
                  <w:r>
                    <w:rPr>
                      <w:rFonts w:hint="eastAsia" w:ascii="宋体" w:hAnsi="宋体" w:eastAsia="宋体"/>
                      <w:bCs/>
                      <w:sz w:val="18"/>
                      <w:szCs w:val="22"/>
                    </w:rPr>
                    <w:t>公共</w:t>
                  </w:r>
                  <w:r>
                    <w:rPr>
                      <w:rFonts w:ascii="宋体" w:hAnsi="宋体" w:eastAsia="宋体"/>
                      <w:bCs/>
                      <w:sz w:val="18"/>
                      <w:szCs w:val="22"/>
                    </w:rPr>
                    <w:t>浴室、病房设卫生间、盥洗</w:t>
                  </w:r>
                </w:p>
              </w:tc>
              <w:tc>
                <w:tcPr>
                  <w:tcW w:w="900" w:type="dxa"/>
                  <w:vAlign w:val="center"/>
                </w:tcPr>
                <w:p w14:paraId="75EB1EBB">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5806F1D4">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～130</w:t>
                  </w:r>
                </w:p>
              </w:tc>
              <w:tc>
                <w:tcPr>
                  <w:tcW w:w="900" w:type="dxa"/>
                  <w:vAlign w:val="center"/>
                </w:tcPr>
                <w:p w14:paraId="1D7842A3">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D71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24926996">
                  <w:pPr>
                    <w:spacing w:line="240" w:lineRule="auto"/>
                    <w:jc w:val="center"/>
                    <w:rPr>
                      <w:rFonts w:ascii="宋体" w:hAnsi="宋体" w:eastAsia="宋体"/>
                      <w:bCs/>
                      <w:sz w:val="18"/>
                      <w:szCs w:val="22"/>
                    </w:rPr>
                  </w:pPr>
                </w:p>
              </w:tc>
              <w:tc>
                <w:tcPr>
                  <w:tcW w:w="1070" w:type="dxa"/>
                  <w:vAlign w:val="center"/>
                </w:tcPr>
                <w:p w14:paraId="1FE96C85">
                  <w:pPr>
                    <w:spacing w:line="240" w:lineRule="auto"/>
                    <w:jc w:val="center"/>
                    <w:rPr>
                      <w:rFonts w:ascii="宋体" w:hAnsi="宋体" w:eastAsia="宋体"/>
                      <w:bCs/>
                      <w:sz w:val="18"/>
                      <w:szCs w:val="22"/>
                    </w:rPr>
                  </w:pPr>
                  <w:r>
                    <w:rPr>
                      <w:rFonts w:ascii="宋体" w:hAnsi="宋体" w:eastAsia="宋体"/>
                      <w:bCs/>
                      <w:sz w:val="18"/>
                      <w:szCs w:val="22"/>
                    </w:rPr>
                    <w:t>病房设浴室、卫生间、盥洗</w:t>
                  </w:r>
                </w:p>
              </w:tc>
              <w:tc>
                <w:tcPr>
                  <w:tcW w:w="900" w:type="dxa"/>
                  <w:vAlign w:val="center"/>
                </w:tcPr>
                <w:p w14:paraId="58F4F9AA">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491AD64F">
                  <w:pPr>
                    <w:spacing w:line="240" w:lineRule="auto"/>
                    <w:jc w:val="center"/>
                    <w:rPr>
                      <w:rFonts w:ascii="宋体" w:hAnsi="宋体" w:eastAsia="宋体"/>
                      <w:bCs/>
                      <w:sz w:val="18"/>
                      <w:szCs w:val="22"/>
                    </w:rPr>
                  </w:pPr>
                  <w:r>
                    <w:rPr>
                      <w:rFonts w:ascii="宋体" w:hAnsi="宋体" w:eastAsia="宋体"/>
                      <w:bCs/>
                      <w:sz w:val="18"/>
                      <w:szCs w:val="22"/>
                    </w:rPr>
                    <w:t>110</w:t>
                  </w:r>
                  <w:r>
                    <w:rPr>
                      <w:rFonts w:hint="eastAsia" w:ascii="宋体" w:hAnsi="宋体" w:eastAsia="宋体"/>
                      <w:bCs/>
                      <w:sz w:val="18"/>
                      <w:szCs w:val="22"/>
                    </w:rPr>
                    <w:t>～</w:t>
                  </w:r>
                  <w:r>
                    <w:rPr>
                      <w:rFonts w:ascii="宋体" w:hAnsi="宋体" w:eastAsia="宋体"/>
                      <w:bCs/>
                      <w:sz w:val="18"/>
                      <w:szCs w:val="22"/>
                    </w:rPr>
                    <w:t>200</w:t>
                  </w:r>
                </w:p>
              </w:tc>
              <w:tc>
                <w:tcPr>
                  <w:tcW w:w="900" w:type="dxa"/>
                  <w:vAlign w:val="center"/>
                </w:tcPr>
                <w:p w14:paraId="259C6F97">
                  <w:pPr>
                    <w:spacing w:line="240" w:lineRule="auto"/>
                    <w:jc w:val="center"/>
                    <w:rPr>
                      <w:rFonts w:ascii="宋体" w:hAnsi="宋体" w:eastAsia="宋体"/>
                      <w:bCs/>
                      <w:sz w:val="18"/>
                      <w:szCs w:val="22"/>
                    </w:rPr>
                  </w:pPr>
                  <w:r>
                    <w:rPr>
                      <w:rFonts w:ascii="宋体" w:hAnsi="宋体" w:eastAsia="宋体"/>
                      <w:bCs/>
                      <w:sz w:val="18"/>
                      <w:szCs w:val="22"/>
                    </w:rPr>
                    <w:t>2.0</w:t>
                  </w:r>
                </w:p>
              </w:tc>
            </w:tr>
            <w:tr w14:paraId="365E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355" w:type="dxa"/>
                  <w:vMerge w:val="continue"/>
                  <w:vAlign w:val="center"/>
                </w:tcPr>
                <w:p w14:paraId="0E1303B3">
                  <w:pPr>
                    <w:spacing w:line="240" w:lineRule="auto"/>
                    <w:jc w:val="center"/>
                    <w:rPr>
                      <w:rFonts w:ascii="宋体" w:hAnsi="宋体" w:eastAsia="宋体"/>
                      <w:bCs/>
                      <w:sz w:val="18"/>
                      <w:szCs w:val="22"/>
                    </w:rPr>
                  </w:pPr>
                </w:p>
              </w:tc>
              <w:tc>
                <w:tcPr>
                  <w:tcW w:w="1070" w:type="dxa"/>
                  <w:vAlign w:val="center"/>
                </w:tcPr>
                <w:p w14:paraId="0A819736">
                  <w:pPr>
                    <w:spacing w:line="240" w:lineRule="auto"/>
                    <w:jc w:val="center"/>
                    <w:rPr>
                      <w:rFonts w:ascii="宋体" w:hAnsi="宋体" w:eastAsia="宋体"/>
                      <w:bCs/>
                      <w:sz w:val="18"/>
                      <w:szCs w:val="22"/>
                    </w:rPr>
                  </w:pPr>
                  <w:r>
                    <w:rPr>
                      <w:rFonts w:ascii="宋体" w:hAnsi="宋体" w:eastAsia="宋体"/>
                      <w:bCs/>
                      <w:sz w:val="18"/>
                      <w:szCs w:val="22"/>
                    </w:rPr>
                    <w:t>贵宾病房</w:t>
                  </w:r>
                </w:p>
              </w:tc>
              <w:tc>
                <w:tcPr>
                  <w:tcW w:w="900" w:type="dxa"/>
                  <w:vAlign w:val="center"/>
                </w:tcPr>
                <w:p w14:paraId="2892BA66">
                  <w:pPr>
                    <w:spacing w:line="240" w:lineRule="auto"/>
                    <w:jc w:val="center"/>
                    <w:rPr>
                      <w:rFonts w:ascii="宋体" w:hAnsi="宋体" w:eastAsia="宋体"/>
                      <w:bCs/>
                      <w:sz w:val="18"/>
                      <w:szCs w:val="22"/>
                    </w:rPr>
                  </w:pPr>
                  <w:r>
                    <w:rPr>
                      <w:rFonts w:ascii="宋体" w:hAnsi="宋体" w:eastAsia="宋体"/>
                      <w:bCs/>
                      <w:sz w:val="18"/>
                      <w:szCs w:val="22"/>
                    </w:rPr>
                    <w:t>L/床·d</w:t>
                  </w:r>
                </w:p>
              </w:tc>
              <w:tc>
                <w:tcPr>
                  <w:tcW w:w="787" w:type="dxa"/>
                  <w:vAlign w:val="center"/>
                </w:tcPr>
                <w:p w14:paraId="2005B558">
                  <w:pPr>
                    <w:spacing w:line="240" w:lineRule="auto"/>
                    <w:jc w:val="center"/>
                    <w:rPr>
                      <w:rFonts w:ascii="宋体" w:hAnsi="宋体" w:eastAsia="宋体"/>
                      <w:bCs/>
                      <w:sz w:val="18"/>
                      <w:szCs w:val="22"/>
                    </w:rPr>
                  </w:pPr>
                  <w:r>
                    <w:rPr>
                      <w:rFonts w:ascii="宋体" w:hAnsi="宋体" w:eastAsia="宋体"/>
                      <w:bCs/>
                      <w:sz w:val="18"/>
                      <w:szCs w:val="22"/>
                    </w:rPr>
                    <w:t>150</w:t>
                  </w:r>
                  <w:r>
                    <w:rPr>
                      <w:rFonts w:hint="eastAsia" w:ascii="宋体" w:hAnsi="宋体" w:eastAsia="宋体"/>
                      <w:bCs/>
                      <w:sz w:val="18"/>
                      <w:szCs w:val="22"/>
                    </w:rPr>
                    <w:t>～</w:t>
                  </w:r>
                  <w:r>
                    <w:rPr>
                      <w:rFonts w:ascii="宋体" w:hAnsi="宋体" w:eastAsia="宋体"/>
                      <w:bCs/>
                      <w:sz w:val="18"/>
                      <w:szCs w:val="22"/>
                    </w:rPr>
                    <w:t>300</w:t>
                  </w:r>
                </w:p>
              </w:tc>
              <w:tc>
                <w:tcPr>
                  <w:tcW w:w="900" w:type="dxa"/>
                  <w:vAlign w:val="center"/>
                </w:tcPr>
                <w:p w14:paraId="160AC617">
                  <w:pPr>
                    <w:spacing w:line="240" w:lineRule="auto"/>
                    <w:jc w:val="center"/>
                    <w:rPr>
                      <w:rFonts w:ascii="宋体" w:hAnsi="宋体" w:eastAsia="宋体"/>
                      <w:bCs/>
                      <w:sz w:val="18"/>
                      <w:szCs w:val="22"/>
                    </w:rPr>
                  </w:pPr>
                  <w:r>
                    <w:rPr>
                      <w:rFonts w:ascii="宋体" w:hAnsi="宋体" w:eastAsia="宋体"/>
                      <w:bCs/>
                      <w:sz w:val="18"/>
                      <w:szCs w:val="22"/>
                    </w:rPr>
                    <w:t>2.0</w:t>
                  </w:r>
                </w:p>
              </w:tc>
            </w:tr>
            <w:tr w14:paraId="1F18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54258D4A">
                  <w:pPr>
                    <w:spacing w:line="240" w:lineRule="auto"/>
                    <w:jc w:val="center"/>
                    <w:rPr>
                      <w:rFonts w:ascii="宋体" w:hAnsi="宋体" w:eastAsia="宋体"/>
                      <w:bCs/>
                      <w:sz w:val="18"/>
                      <w:szCs w:val="22"/>
                    </w:rPr>
                  </w:pPr>
                  <w:r>
                    <w:rPr>
                      <w:rFonts w:ascii="宋体" w:hAnsi="宋体" w:eastAsia="宋体"/>
                      <w:bCs/>
                      <w:sz w:val="18"/>
                      <w:szCs w:val="22"/>
                    </w:rPr>
                    <w:t>门</w:t>
                  </w:r>
                  <w:r>
                    <w:rPr>
                      <w:rFonts w:hint="eastAsia" w:ascii="宋体" w:hAnsi="宋体" w:eastAsia="宋体"/>
                      <w:bCs/>
                      <w:sz w:val="18"/>
                      <w:szCs w:val="22"/>
                    </w:rPr>
                    <w:t>、</w:t>
                  </w:r>
                  <w:r>
                    <w:rPr>
                      <w:rFonts w:ascii="宋体" w:hAnsi="宋体" w:eastAsia="宋体"/>
                      <w:bCs/>
                      <w:sz w:val="18"/>
                      <w:szCs w:val="22"/>
                    </w:rPr>
                    <w:t>急诊患者</w:t>
                  </w:r>
                </w:p>
              </w:tc>
              <w:tc>
                <w:tcPr>
                  <w:tcW w:w="900" w:type="dxa"/>
                  <w:vAlign w:val="center"/>
                </w:tcPr>
                <w:p w14:paraId="3FAA2CDF">
                  <w:pPr>
                    <w:spacing w:line="240" w:lineRule="auto"/>
                    <w:jc w:val="center"/>
                    <w:rPr>
                      <w:rFonts w:ascii="宋体" w:hAnsi="宋体" w:eastAsia="宋体"/>
                      <w:bCs/>
                      <w:sz w:val="18"/>
                      <w:szCs w:val="22"/>
                    </w:rPr>
                  </w:pPr>
                  <w:r>
                    <w:rPr>
                      <w:rFonts w:ascii="宋体" w:hAnsi="宋体" w:eastAsia="宋体"/>
                      <w:bCs/>
                      <w:sz w:val="18"/>
                      <w:szCs w:val="22"/>
                    </w:rPr>
                    <w:t>L/人·次</w:t>
                  </w:r>
                </w:p>
              </w:tc>
              <w:tc>
                <w:tcPr>
                  <w:tcW w:w="787" w:type="dxa"/>
                  <w:vAlign w:val="center"/>
                </w:tcPr>
                <w:p w14:paraId="7E882A72">
                  <w:pPr>
                    <w:spacing w:line="240" w:lineRule="auto"/>
                    <w:jc w:val="center"/>
                    <w:rPr>
                      <w:rFonts w:ascii="宋体" w:hAnsi="宋体" w:eastAsia="宋体"/>
                      <w:bCs/>
                      <w:sz w:val="18"/>
                      <w:szCs w:val="22"/>
                    </w:rPr>
                  </w:pPr>
                  <w:r>
                    <w:rPr>
                      <w:rFonts w:ascii="宋体" w:hAnsi="宋体" w:eastAsia="宋体"/>
                      <w:bCs/>
                      <w:sz w:val="18"/>
                      <w:szCs w:val="22"/>
                    </w:rPr>
                    <w:t>5</w:t>
                  </w:r>
                  <w:r>
                    <w:rPr>
                      <w:rFonts w:hint="eastAsia" w:ascii="宋体" w:hAnsi="宋体" w:eastAsia="宋体"/>
                      <w:bCs/>
                      <w:sz w:val="18"/>
                      <w:szCs w:val="22"/>
                    </w:rPr>
                    <w:t>～</w:t>
                  </w:r>
                  <w:r>
                    <w:rPr>
                      <w:rFonts w:ascii="宋体" w:hAnsi="宋体" w:eastAsia="宋体"/>
                      <w:bCs/>
                      <w:sz w:val="18"/>
                      <w:szCs w:val="22"/>
                    </w:rPr>
                    <w:t>8</w:t>
                  </w:r>
                </w:p>
              </w:tc>
              <w:tc>
                <w:tcPr>
                  <w:tcW w:w="900" w:type="dxa"/>
                  <w:vAlign w:val="center"/>
                </w:tcPr>
                <w:p w14:paraId="48D14389">
                  <w:pPr>
                    <w:spacing w:line="240" w:lineRule="auto"/>
                    <w:jc w:val="center"/>
                    <w:rPr>
                      <w:rFonts w:ascii="宋体" w:hAnsi="宋体" w:eastAsia="宋体"/>
                      <w:bCs/>
                      <w:sz w:val="18"/>
                      <w:szCs w:val="22"/>
                    </w:rPr>
                  </w:pPr>
                  <w:r>
                    <w:rPr>
                      <w:rFonts w:ascii="宋体" w:hAnsi="宋体" w:eastAsia="宋体"/>
                      <w:bCs/>
                      <w:sz w:val="18"/>
                      <w:szCs w:val="22"/>
                    </w:rPr>
                    <w:t>2.5</w:t>
                  </w:r>
                </w:p>
              </w:tc>
            </w:tr>
            <w:tr w14:paraId="3B38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1310031B">
                  <w:pPr>
                    <w:spacing w:line="240" w:lineRule="auto"/>
                    <w:jc w:val="center"/>
                    <w:rPr>
                      <w:rFonts w:ascii="宋体" w:hAnsi="宋体" w:eastAsia="宋体"/>
                      <w:bCs/>
                      <w:sz w:val="18"/>
                      <w:szCs w:val="22"/>
                    </w:rPr>
                  </w:pPr>
                  <w:r>
                    <w:rPr>
                      <w:rFonts w:ascii="宋体" w:hAnsi="宋体" w:eastAsia="宋体"/>
                      <w:bCs/>
                      <w:sz w:val="18"/>
                      <w:szCs w:val="22"/>
                    </w:rPr>
                    <w:t>医务人员</w:t>
                  </w:r>
                </w:p>
              </w:tc>
              <w:tc>
                <w:tcPr>
                  <w:tcW w:w="900" w:type="dxa"/>
                  <w:vAlign w:val="center"/>
                </w:tcPr>
                <w:p w14:paraId="6853D53C">
                  <w:pPr>
                    <w:spacing w:line="240" w:lineRule="auto"/>
                    <w:jc w:val="center"/>
                    <w:rPr>
                      <w:rFonts w:ascii="宋体" w:hAnsi="宋体" w:eastAsia="宋体"/>
                      <w:bCs/>
                      <w:sz w:val="18"/>
                      <w:szCs w:val="22"/>
                    </w:rPr>
                  </w:pPr>
                  <w:r>
                    <w:rPr>
                      <w:rFonts w:ascii="宋体" w:hAnsi="宋体" w:eastAsia="宋体"/>
                      <w:bCs/>
                      <w:sz w:val="18"/>
                      <w:szCs w:val="22"/>
                    </w:rPr>
                    <w:t>L/人·班</w:t>
                  </w:r>
                </w:p>
              </w:tc>
              <w:tc>
                <w:tcPr>
                  <w:tcW w:w="787" w:type="dxa"/>
                  <w:vAlign w:val="center"/>
                </w:tcPr>
                <w:p w14:paraId="73284200">
                  <w:pPr>
                    <w:spacing w:line="240" w:lineRule="auto"/>
                    <w:jc w:val="center"/>
                    <w:rPr>
                      <w:rFonts w:ascii="宋体" w:hAnsi="宋体" w:eastAsia="宋体"/>
                      <w:bCs/>
                      <w:sz w:val="18"/>
                      <w:szCs w:val="22"/>
                    </w:rPr>
                  </w:pPr>
                  <w:r>
                    <w:rPr>
                      <w:rFonts w:ascii="宋体" w:hAnsi="宋体" w:eastAsia="宋体"/>
                      <w:bCs/>
                      <w:sz w:val="18"/>
                      <w:szCs w:val="22"/>
                    </w:rPr>
                    <w:t>60</w:t>
                  </w:r>
                  <w:r>
                    <w:rPr>
                      <w:rFonts w:hint="eastAsia" w:ascii="宋体" w:hAnsi="宋体" w:eastAsia="宋体"/>
                      <w:bCs/>
                      <w:sz w:val="18"/>
                      <w:szCs w:val="22"/>
                    </w:rPr>
                    <w:t>～130</w:t>
                  </w:r>
                </w:p>
              </w:tc>
              <w:tc>
                <w:tcPr>
                  <w:tcW w:w="900" w:type="dxa"/>
                  <w:vAlign w:val="center"/>
                </w:tcPr>
                <w:p w14:paraId="6A78E6B8">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7F8B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25" w:type="dxa"/>
                  <w:gridSpan w:val="2"/>
                  <w:vAlign w:val="center"/>
                </w:tcPr>
                <w:p w14:paraId="70D4B7FF">
                  <w:pPr>
                    <w:spacing w:line="240" w:lineRule="auto"/>
                    <w:jc w:val="center"/>
                    <w:rPr>
                      <w:rFonts w:ascii="宋体" w:hAnsi="宋体" w:eastAsia="宋体"/>
                      <w:bCs/>
                      <w:sz w:val="18"/>
                      <w:szCs w:val="22"/>
                    </w:rPr>
                  </w:pPr>
                  <w:r>
                    <w:rPr>
                      <w:rFonts w:ascii="宋体" w:hAnsi="宋体" w:eastAsia="宋体"/>
                      <w:bCs/>
                      <w:sz w:val="18"/>
                      <w:szCs w:val="22"/>
                    </w:rPr>
                    <w:t>医院后勤职工</w:t>
                  </w:r>
                </w:p>
              </w:tc>
              <w:tc>
                <w:tcPr>
                  <w:tcW w:w="900" w:type="dxa"/>
                  <w:vAlign w:val="center"/>
                </w:tcPr>
                <w:p w14:paraId="2BA3B3CA">
                  <w:pPr>
                    <w:spacing w:line="240" w:lineRule="auto"/>
                    <w:jc w:val="center"/>
                    <w:rPr>
                      <w:rFonts w:ascii="宋体" w:hAnsi="宋体" w:eastAsia="宋体"/>
                      <w:bCs/>
                      <w:sz w:val="18"/>
                      <w:szCs w:val="22"/>
                    </w:rPr>
                  </w:pPr>
                  <w:r>
                    <w:rPr>
                      <w:rFonts w:ascii="宋体" w:hAnsi="宋体" w:eastAsia="宋体"/>
                      <w:bCs/>
                      <w:sz w:val="18"/>
                      <w:szCs w:val="22"/>
                    </w:rPr>
                    <w:t>L/人·班</w:t>
                  </w:r>
                </w:p>
              </w:tc>
              <w:tc>
                <w:tcPr>
                  <w:tcW w:w="787" w:type="dxa"/>
                  <w:vAlign w:val="center"/>
                </w:tcPr>
                <w:p w14:paraId="4235137D">
                  <w:pPr>
                    <w:spacing w:line="240" w:lineRule="auto"/>
                    <w:jc w:val="center"/>
                    <w:rPr>
                      <w:rFonts w:ascii="宋体" w:hAnsi="宋体" w:eastAsia="宋体"/>
                      <w:bCs/>
                      <w:sz w:val="18"/>
                      <w:szCs w:val="22"/>
                    </w:rPr>
                  </w:pPr>
                  <w:r>
                    <w:rPr>
                      <w:rFonts w:ascii="宋体" w:hAnsi="宋体" w:eastAsia="宋体"/>
                      <w:bCs/>
                      <w:sz w:val="18"/>
                      <w:szCs w:val="22"/>
                    </w:rPr>
                    <w:t>30</w:t>
                  </w:r>
                  <w:r>
                    <w:rPr>
                      <w:rFonts w:hint="eastAsia" w:ascii="宋体" w:hAnsi="宋体" w:eastAsia="宋体"/>
                      <w:bCs/>
                      <w:sz w:val="18"/>
                      <w:szCs w:val="22"/>
                    </w:rPr>
                    <w:t>～</w:t>
                  </w:r>
                  <w:r>
                    <w:rPr>
                      <w:rFonts w:ascii="宋体" w:hAnsi="宋体" w:eastAsia="宋体"/>
                      <w:bCs/>
                      <w:sz w:val="18"/>
                      <w:szCs w:val="22"/>
                    </w:rPr>
                    <w:t>45</w:t>
                  </w:r>
                </w:p>
              </w:tc>
              <w:tc>
                <w:tcPr>
                  <w:tcW w:w="900" w:type="dxa"/>
                  <w:vAlign w:val="center"/>
                </w:tcPr>
                <w:p w14:paraId="09398AB7">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2.0</w:t>
                  </w:r>
                </w:p>
              </w:tc>
            </w:tr>
            <w:tr w14:paraId="25E1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1425" w:type="dxa"/>
                  <w:gridSpan w:val="2"/>
                  <w:vAlign w:val="center"/>
                </w:tcPr>
                <w:p w14:paraId="1B883006">
                  <w:pPr>
                    <w:spacing w:line="240" w:lineRule="auto"/>
                    <w:jc w:val="center"/>
                    <w:rPr>
                      <w:rFonts w:ascii="宋体" w:hAnsi="宋体" w:eastAsia="宋体"/>
                      <w:bCs/>
                      <w:sz w:val="18"/>
                      <w:szCs w:val="22"/>
                    </w:rPr>
                  </w:pPr>
                  <w:r>
                    <w:rPr>
                      <w:rFonts w:ascii="宋体" w:hAnsi="宋体" w:eastAsia="宋体"/>
                      <w:bCs/>
                      <w:sz w:val="18"/>
                      <w:szCs w:val="22"/>
                    </w:rPr>
                    <w:t>食堂</w:t>
                  </w:r>
                </w:p>
              </w:tc>
              <w:tc>
                <w:tcPr>
                  <w:tcW w:w="900" w:type="dxa"/>
                  <w:vAlign w:val="center"/>
                </w:tcPr>
                <w:p w14:paraId="52A72022">
                  <w:pPr>
                    <w:spacing w:line="240" w:lineRule="auto"/>
                    <w:jc w:val="center"/>
                    <w:rPr>
                      <w:rFonts w:ascii="宋体" w:hAnsi="宋体" w:eastAsia="宋体"/>
                      <w:bCs/>
                      <w:sz w:val="18"/>
                      <w:szCs w:val="22"/>
                    </w:rPr>
                  </w:pPr>
                  <w:r>
                    <w:rPr>
                      <w:rFonts w:ascii="宋体" w:hAnsi="宋体" w:eastAsia="宋体"/>
                      <w:bCs/>
                      <w:sz w:val="18"/>
                      <w:szCs w:val="22"/>
                    </w:rPr>
                    <w:t>L/人·次</w:t>
                  </w:r>
                </w:p>
              </w:tc>
              <w:tc>
                <w:tcPr>
                  <w:tcW w:w="787" w:type="dxa"/>
                  <w:vAlign w:val="center"/>
                </w:tcPr>
                <w:p w14:paraId="70889CE7">
                  <w:pPr>
                    <w:spacing w:line="240" w:lineRule="auto"/>
                    <w:jc w:val="center"/>
                    <w:rPr>
                      <w:rFonts w:ascii="宋体" w:hAnsi="宋体" w:eastAsia="宋体"/>
                      <w:bCs/>
                      <w:sz w:val="18"/>
                      <w:szCs w:val="22"/>
                    </w:rPr>
                  </w:pPr>
                  <w:r>
                    <w:rPr>
                      <w:rFonts w:ascii="宋体" w:hAnsi="宋体" w:eastAsia="宋体"/>
                      <w:bCs/>
                      <w:sz w:val="18"/>
                      <w:szCs w:val="22"/>
                    </w:rPr>
                    <w:t>7</w:t>
                  </w:r>
                  <w:r>
                    <w:rPr>
                      <w:rFonts w:hint="eastAsia" w:ascii="宋体" w:hAnsi="宋体" w:eastAsia="宋体"/>
                      <w:bCs/>
                      <w:sz w:val="18"/>
                      <w:szCs w:val="22"/>
                    </w:rPr>
                    <w:t>～</w:t>
                  </w:r>
                  <w:r>
                    <w:rPr>
                      <w:rFonts w:ascii="宋体" w:hAnsi="宋体" w:eastAsia="宋体"/>
                      <w:bCs/>
                      <w:sz w:val="18"/>
                      <w:szCs w:val="22"/>
                    </w:rPr>
                    <w:t>10</w:t>
                  </w:r>
                </w:p>
              </w:tc>
              <w:tc>
                <w:tcPr>
                  <w:tcW w:w="900" w:type="dxa"/>
                  <w:vAlign w:val="center"/>
                </w:tcPr>
                <w:p w14:paraId="43F840FB">
                  <w:pPr>
                    <w:spacing w:line="240" w:lineRule="auto"/>
                    <w:jc w:val="center"/>
                    <w:rPr>
                      <w:rFonts w:ascii="宋体" w:hAnsi="宋体" w:eastAsia="宋体"/>
                      <w:bCs/>
                      <w:sz w:val="18"/>
                      <w:szCs w:val="22"/>
                    </w:rPr>
                  </w:pPr>
                  <w:r>
                    <w:rPr>
                      <w:rFonts w:ascii="宋体" w:hAnsi="宋体" w:eastAsia="宋体"/>
                      <w:bCs/>
                      <w:sz w:val="18"/>
                      <w:szCs w:val="22"/>
                    </w:rPr>
                    <w:t>2.5</w:t>
                  </w:r>
                  <w:r>
                    <w:rPr>
                      <w:rFonts w:hint="eastAsia" w:ascii="宋体" w:hAnsi="宋体" w:eastAsia="宋体"/>
                      <w:bCs/>
                      <w:sz w:val="18"/>
                      <w:szCs w:val="22"/>
                    </w:rPr>
                    <w:t>～</w:t>
                  </w:r>
                  <w:r>
                    <w:rPr>
                      <w:rFonts w:ascii="宋体" w:hAnsi="宋体" w:eastAsia="宋体"/>
                      <w:bCs/>
                      <w:sz w:val="18"/>
                      <w:szCs w:val="22"/>
                    </w:rPr>
                    <w:t>1.5</w:t>
                  </w:r>
                </w:p>
              </w:tc>
            </w:tr>
            <w:tr w14:paraId="61E9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1425" w:type="dxa"/>
                  <w:gridSpan w:val="2"/>
                  <w:vAlign w:val="center"/>
                </w:tcPr>
                <w:p w14:paraId="5D150B6C">
                  <w:pPr>
                    <w:spacing w:line="240" w:lineRule="auto"/>
                    <w:jc w:val="center"/>
                    <w:rPr>
                      <w:rFonts w:ascii="宋体" w:hAnsi="宋体" w:eastAsia="宋体"/>
                      <w:bCs/>
                      <w:sz w:val="18"/>
                      <w:szCs w:val="22"/>
                    </w:rPr>
                  </w:pPr>
                  <w:r>
                    <w:rPr>
                      <w:rFonts w:ascii="宋体" w:hAnsi="宋体" w:eastAsia="宋体"/>
                      <w:bCs/>
                      <w:sz w:val="18"/>
                      <w:szCs w:val="22"/>
                    </w:rPr>
                    <w:t>洗衣</w:t>
                  </w:r>
                </w:p>
              </w:tc>
              <w:tc>
                <w:tcPr>
                  <w:tcW w:w="900" w:type="dxa"/>
                  <w:vAlign w:val="center"/>
                </w:tcPr>
                <w:p w14:paraId="0B64175D">
                  <w:pPr>
                    <w:spacing w:line="240" w:lineRule="auto"/>
                    <w:jc w:val="center"/>
                    <w:rPr>
                      <w:rFonts w:ascii="宋体" w:hAnsi="宋体" w:eastAsia="宋体"/>
                      <w:bCs/>
                      <w:sz w:val="18"/>
                      <w:szCs w:val="22"/>
                    </w:rPr>
                  </w:pPr>
                  <w:r>
                    <w:rPr>
                      <w:rFonts w:ascii="宋体" w:hAnsi="宋体" w:eastAsia="宋体"/>
                      <w:bCs/>
                      <w:sz w:val="18"/>
                      <w:szCs w:val="22"/>
                    </w:rPr>
                    <w:t>L/kg</w:t>
                  </w:r>
                </w:p>
              </w:tc>
              <w:tc>
                <w:tcPr>
                  <w:tcW w:w="787" w:type="dxa"/>
                  <w:vAlign w:val="center"/>
                </w:tcPr>
                <w:p w14:paraId="19E0F832">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30</w:t>
                  </w:r>
                </w:p>
              </w:tc>
              <w:tc>
                <w:tcPr>
                  <w:tcW w:w="900" w:type="dxa"/>
                  <w:vAlign w:val="center"/>
                </w:tcPr>
                <w:p w14:paraId="669E4C7C">
                  <w:pPr>
                    <w:spacing w:line="240" w:lineRule="auto"/>
                    <w:jc w:val="center"/>
                    <w:rPr>
                      <w:rFonts w:ascii="宋体" w:hAnsi="宋体" w:eastAsia="宋体"/>
                      <w:bCs/>
                      <w:sz w:val="18"/>
                      <w:szCs w:val="22"/>
                    </w:rPr>
                  </w:pPr>
                  <w:r>
                    <w:rPr>
                      <w:rFonts w:ascii="宋体" w:hAnsi="宋体" w:eastAsia="宋体"/>
                      <w:bCs/>
                      <w:sz w:val="18"/>
                      <w:szCs w:val="22"/>
                    </w:rPr>
                    <w:t>1.5</w:t>
                  </w:r>
                  <w:r>
                    <w:rPr>
                      <w:rFonts w:hint="eastAsia" w:ascii="宋体" w:hAnsi="宋体" w:eastAsia="宋体"/>
                      <w:bCs/>
                      <w:sz w:val="18"/>
                      <w:szCs w:val="22"/>
                    </w:rPr>
                    <w:t>～</w:t>
                  </w:r>
                  <w:r>
                    <w:rPr>
                      <w:rFonts w:ascii="宋体" w:hAnsi="宋体" w:eastAsia="宋体"/>
                      <w:bCs/>
                      <w:sz w:val="18"/>
                      <w:szCs w:val="22"/>
                    </w:rPr>
                    <w:t>1.0</w:t>
                  </w:r>
                </w:p>
              </w:tc>
            </w:tr>
          </w:tbl>
          <w:p w14:paraId="484A2A7C"/>
        </w:tc>
      </w:tr>
      <w:tr w14:paraId="0465F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98F619B">
            <w:pPr>
              <w:jc w:val="center"/>
              <w:rPr>
                <w:rFonts w:asciiTheme="minorEastAsia" w:hAnsiTheme="minorEastAsia"/>
              </w:rPr>
            </w:pPr>
            <w:bookmarkStart w:id="33" w:name="_Toc85880752"/>
            <w:r>
              <w:rPr>
                <w:rFonts w:asciiTheme="minorEastAsia" w:hAnsiTheme="minorEastAsia"/>
              </w:rPr>
              <w:t>6</w:t>
            </w:r>
            <w:r>
              <w:rPr>
                <w:rFonts w:hint="eastAsia" w:asciiTheme="minorEastAsia" w:hAnsiTheme="minorEastAsia"/>
              </w:rPr>
              <w:t>.</w:t>
            </w:r>
            <w:r>
              <w:rPr>
                <w:rFonts w:asciiTheme="minorEastAsia" w:hAnsiTheme="minorEastAsia"/>
              </w:rPr>
              <w:t>5 饮用水</w:t>
            </w:r>
            <w:bookmarkEnd w:id="33"/>
          </w:p>
        </w:tc>
        <w:tc>
          <w:tcPr>
            <w:tcW w:w="4261" w:type="dxa"/>
          </w:tcPr>
          <w:p w14:paraId="0CA08048">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5 饮用水</w:t>
            </w:r>
          </w:p>
        </w:tc>
      </w:tr>
      <w:tr w14:paraId="108D4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7F97EF0">
            <w:pPr>
              <w:jc w:val="left"/>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5</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kern w:val="0"/>
              </w:rPr>
              <w:t xml:space="preserve"> </w:t>
            </w:r>
            <w:r>
              <w:rPr>
                <w:rFonts w:ascii="宋体" w:hAnsi="宋体" w:eastAsia="宋体" w:cs="宋体"/>
                <w:kern w:val="0"/>
              </w:rPr>
              <w:t>当采用</w:t>
            </w:r>
            <w:r>
              <w:rPr>
                <w:rFonts w:ascii="宋体" w:hAnsi="宋体" w:eastAsia="宋体" w:cs="宋体"/>
                <w:kern w:val="0"/>
                <w:bdr w:val="single" w:color="auto" w:sz="4" w:space="0"/>
              </w:rPr>
              <w:t>管道直</w:t>
            </w:r>
            <w:r>
              <w:rPr>
                <w:rFonts w:ascii="宋体" w:hAnsi="宋体" w:eastAsia="宋体" w:cs="宋体"/>
                <w:kern w:val="0"/>
              </w:rPr>
              <w:t>饮水系统时，应符合下列要求：</w:t>
            </w:r>
          </w:p>
          <w:p w14:paraId="198790E3">
            <w:pPr>
              <w:ind w:firstLine="480" w:firstLineChars="200"/>
              <w:jc w:val="left"/>
              <w:rPr>
                <w:rFonts w:ascii="宋体" w:hAnsi="宋体" w:eastAsia="宋体" w:cs="宋体"/>
                <w:kern w:val="0"/>
              </w:rPr>
            </w:pPr>
            <w:r>
              <w:rPr>
                <w:rFonts w:ascii="宋体" w:hAnsi="宋体" w:eastAsia="宋体" w:cs="宋体"/>
                <w:kern w:val="0"/>
              </w:rPr>
              <w:t>1 管道直饮水的水源应符合国家现行标准《生活饮用水卫生标准》GB5749和《饮用净水水质标准》CJ94等要求。</w:t>
            </w:r>
          </w:p>
          <w:p w14:paraId="00CE03D3">
            <w:pPr>
              <w:ind w:firstLine="480" w:firstLineChars="200"/>
              <w:jc w:val="left"/>
              <w:rPr>
                <w:rFonts w:ascii="宋体" w:hAnsi="宋体" w:eastAsia="宋体" w:cs="宋体"/>
                <w:kern w:val="0"/>
              </w:rPr>
            </w:pPr>
            <w:r>
              <w:rPr>
                <w:rFonts w:ascii="宋体" w:hAnsi="宋体" w:eastAsia="宋体" w:cs="宋体"/>
                <w:kern w:val="0"/>
              </w:rPr>
              <w:t>2 管道直饮水水处理宜符合工艺流程要求</w:t>
            </w:r>
            <w:r>
              <w:rPr>
                <w:rFonts w:hint="eastAsia" w:ascii="宋体" w:hAnsi="宋体" w:eastAsia="宋体" w:cs="宋体"/>
                <w:kern w:val="0"/>
              </w:rPr>
              <w:t>（</w:t>
            </w:r>
            <w:r>
              <w:rPr>
                <w:rFonts w:ascii="宋体" w:hAnsi="宋体" w:eastAsia="宋体" w:cs="宋体"/>
                <w:kern w:val="0"/>
              </w:rPr>
              <w:t>图6</w:t>
            </w:r>
            <w:r>
              <w:rPr>
                <w:rFonts w:hint="eastAsia" w:ascii="宋体" w:hAnsi="宋体" w:eastAsia="宋体" w:cs="宋体"/>
                <w:kern w:val="0"/>
              </w:rPr>
              <w:t>.</w:t>
            </w:r>
            <w:r>
              <w:rPr>
                <w:rFonts w:ascii="宋体" w:hAnsi="宋体" w:eastAsia="宋体" w:cs="宋体"/>
                <w:kern w:val="0"/>
              </w:rPr>
              <w:t>5</w:t>
            </w:r>
            <w:r>
              <w:rPr>
                <w:rFonts w:hint="eastAsia" w:ascii="宋体" w:hAnsi="宋体" w:eastAsia="宋体" w:cs="宋体"/>
                <w:kern w:val="0"/>
              </w:rPr>
              <w:t>.</w:t>
            </w:r>
            <w:r>
              <w:rPr>
                <w:rFonts w:ascii="宋体" w:hAnsi="宋体" w:eastAsia="宋体" w:cs="宋体"/>
                <w:kern w:val="0"/>
              </w:rPr>
              <w:t>3），最后一级膜过滤应采用孔径为0</w:t>
            </w:r>
            <w:r>
              <w:rPr>
                <w:rFonts w:hint="eastAsia" w:ascii="宋体" w:hAnsi="宋体" w:eastAsia="宋体" w:cs="宋体"/>
                <w:kern w:val="0"/>
              </w:rPr>
              <w:t>.</w:t>
            </w:r>
            <w:r>
              <w:rPr>
                <w:rFonts w:ascii="宋体" w:hAnsi="宋体" w:eastAsia="宋体" w:cs="宋体"/>
                <w:kern w:val="0"/>
              </w:rPr>
              <w:t>20μm～0</w:t>
            </w:r>
            <w:r>
              <w:rPr>
                <w:rFonts w:hint="eastAsia" w:ascii="宋体" w:hAnsi="宋体" w:eastAsia="宋体" w:cs="宋体"/>
                <w:kern w:val="0"/>
              </w:rPr>
              <w:t>.</w:t>
            </w:r>
            <w:r>
              <w:rPr>
                <w:rFonts w:ascii="宋体" w:hAnsi="宋体" w:eastAsia="宋体" w:cs="宋体"/>
                <w:kern w:val="0"/>
              </w:rPr>
              <w:t>45μm的膜。</w:t>
            </w:r>
          </w:p>
          <w:p w14:paraId="7A756155">
            <w:pPr>
              <w:jc w:val="center"/>
              <w:rPr>
                <w:rFonts w:ascii="宋体" w:hAnsi="宋体" w:eastAsia="宋体" w:cs="宋体"/>
                <w:b/>
                <w:sz w:val="22"/>
              </w:rPr>
            </w:pPr>
            <w:r>
              <w:rPr>
                <w:rFonts w:ascii="宋体" w:hAnsi="宋体" w:eastAsia="宋体" w:cs="宋体"/>
                <w:b/>
                <w:sz w:val="22"/>
              </w:rPr>
              <w:drawing>
                <wp:inline distT="0" distB="0" distL="0" distR="0">
                  <wp:extent cx="2318385" cy="528955"/>
                  <wp:effectExtent l="0" t="0" r="571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6959" t="-1" r="4090" b="10217"/>
                          <a:stretch>
                            <a:fillRect/>
                          </a:stretch>
                        </pic:blipFill>
                        <pic:spPr>
                          <a:xfrm>
                            <a:off x="0" y="0"/>
                            <a:ext cx="2318400" cy="529200"/>
                          </a:xfrm>
                          <a:prstGeom prst="rect">
                            <a:avLst/>
                          </a:prstGeom>
                          <a:noFill/>
                          <a:ln>
                            <a:noFill/>
                          </a:ln>
                        </pic:spPr>
                      </pic:pic>
                    </a:graphicData>
                  </a:graphic>
                </wp:inline>
              </w:drawing>
            </w:r>
          </w:p>
          <w:p w14:paraId="0423F61D">
            <w:pPr>
              <w:jc w:val="center"/>
              <w:rPr>
                <w:rFonts w:ascii="宋体" w:hAnsi="宋体" w:eastAsia="宋体"/>
                <w:b/>
                <w:bCs/>
                <w:sz w:val="18"/>
                <w:szCs w:val="22"/>
              </w:rPr>
            </w:pPr>
            <w:r>
              <w:rPr>
                <w:rFonts w:hint="eastAsia" w:ascii="宋体" w:hAnsi="宋体" w:eastAsia="宋体"/>
                <w:b/>
                <w:bCs/>
                <w:sz w:val="18"/>
                <w:szCs w:val="22"/>
              </w:rPr>
              <w:t xml:space="preserve">图6.5.3 </w:t>
            </w:r>
            <w:r>
              <w:rPr>
                <w:rFonts w:ascii="宋体" w:hAnsi="宋体" w:eastAsia="宋体"/>
                <w:b/>
                <w:bCs/>
                <w:sz w:val="18"/>
                <w:szCs w:val="22"/>
              </w:rPr>
              <w:t>管道直饮水水处理工艺流程</w:t>
            </w:r>
          </w:p>
          <w:p w14:paraId="72A57BB1">
            <w:pPr>
              <w:ind w:firstLine="480" w:firstLineChars="200"/>
              <w:rPr>
                <w:rFonts w:ascii="宋体" w:hAnsi="宋体" w:eastAsia="宋体" w:cs="宋体"/>
                <w:kern w:val="0"/>
              </w:rPr>
            </w:pPr>
            <w:r>
              <w:rPr>
                <w:rFonts w:ascii="宋体" w:hAnsi="宋体" w:eastAsia="宋体" w:cs="宋体"/>
                <w:kern w:val="0"/>
              </w:rPr>
              <w:t>3 管道直饮水的宜采用循环供水系统，回水管流速宜为</w:t>
            </w:r>
            <w:r>
              <w:rPr>
                <w:rFonts w:ascii="宋体" w:hAnsi="宋体" w:eastAsia="宋体" w:cs="宋体"/>
                <w:kern w:val="0"/>
                <w:bdr w:val="single" w:color="auto" w:sz="4" w:space="0"/>
              </w:rPr>
              <w:t>1</w:t>
            </w:r>
            <w:r>
              <w:rPr>
                <w:rFonts w:hint="eastAsia" w:ascii="宋体" w:hAnsi="宋体" w:eastAsia="宋体" w:cs="宋体"/>
                <w:kern w:val="0"/>
                <w:bdr w:val="single" w:color="auto" w:sz="4" w:space="0"/>
              </w:rPr>
              <w:t>.</w:t>
            </w:r>
            <w:r>
              <w:rPr>
                <w:rFonts w:ascii="宋体" w:hAnsi="宋体" w:eastAsia="宋体" w:cs="宋体"/>
                <w:kern w:val="0"/>
                <w:bdr w:val="single" w:color="auto" w:sz="4" w:space="0"/>
              </w:rPr>
              <w:t>00m</w:t>
            </w:r>
            <w:r>
              <w:rPr>
                <w:rFonts w:hint="eastAsia" w:ascii="宋体" w:hAnsi="宋体" w:eastAsia="宋体" w:cs="宋体"/>
                <w:kern w:val="0"/>
                <w:bdr w:val="single" w:color="auto" w:sz="4" w:space="0"/>
              </w:rPr>
              <w:t>/</w:t>
            </w:r>
            <w:r>
              <w:rPr>
                <w:rFonts w:ascii="宋体" w:hAnsi="宋体" w:eastAsia="宋体" w:cs="宋体"/>
                <w:kern w:val="0"/>
                <w:bdr w:val="single" w:color="auto" w:sz="4" w:space="0"/>
              </w:rPr>
              <w:t>s～1</w:t>
            </w:r>
            <w:r>
              <w:rPr>
                <w:rFonts w:hint="eastAsia" w:ascii="宋体" w:hAnsi="宋体" w:eastAsia="宋体" w:cs="宋体"/>
                <w:kern w:val="0"/>
                <w:bdr w:val="single" w:color="auto" w:sz="4" w:space="0"/>
              </w:rPr>
              <w:t>.</w:t>
            </w:r>
            <w:r>
              <w:rPr>
                <w:rFonts w:ascii="宋体" w:hAnsi="宋体" w:eastAsia="宋体" w:cs="宋体"/>
                <w:kern w:val="0"/>
                <w:bdr w:val="single" w:color="auto" w:sz="4" w:space="0"/>
              </w:rPr>
              <w:t>50m</w:t>
            </w:r>
            <w:r>
              <w:rPr>
                <w:rFonts w:hint="eastAsia" w:ascii="宋体" w:hAnsi="宋体" w:eastAsia="宋体" w:cs="宋体"/>
                <w:kern w:val="0"/>
                <w:bdr w:val="single" w:color="auto" w:sz="4" w:space="0"/>
              </w:rPr>
              <w:t>/</w:t>
            </w:r>
            <w:r>
              <w:rPr>
                <w:rFonts w:ascii="宋体" w:hAnsi="宋体" w:eastAsia="宋体" w:cs="宋体"/>
                <w:kern w:val="0"/>
                <w:bdr w:val="single" w:color="auto" w:sz="4" w:space="0"/>
              </w:rPr>
              <w:t>s</w:t>
            </w:r>
            <w:r>
              <w:rPr>
                <w:rFonts w:ascii="宋体" w:hAnsi="宋体" w:eastAsia="宋体" w:cs="宋体"/>
                <w:kern w:val="0"/>
              </w:rPr>
              <w:t>，回水经膜滤和消毒后再用。管网末端盲管的最大长度不宜超过0</w:t>
            </w:r>
            <w:r>
              <w:rPr>
                <w:rFonts w:hint="eastAsia" w:ascii="宋体" w:hAnsi="宋体" w:eastAsia="宋体" w:cs="宋体"/>
                <w:kern w:val="0"/>
              </w:rPr>
              <w:t>.</w:t>
            </w:r>
            <w:r>
              <w:rPr>
                <w:rFonts w:ascii="宋体" w:hAnsi="宋体" w:eastAsia="宋体" w:cs="宋体"/>
                <w:kern w:val="0"/>
              </w:rPr>
              <w:t>50m</w:t>
            </w:r>
            <w:r>
              <w:rPr>
                <w:rFonts w:hint="eastAsia" w:ascii="宋体" w:hAnsi="宋体" w:eastAsia="宋体" w:cs="宋体"/>
                <w:kern w:val="0"/>
              </w:rPr>
              <w:t>。</w:t>
            </w:r>
          </w:p>
          <w:p w14:paraId="5187283D">
            <w:pPr>
              <w:ind w:firstLine="480" w:firstLineChars="200"/>
              <w:rPr>
                <w:rFonts w:ascii="宋体" w:hAnsi="宋体" w:eastAsia="宋体" w:cs="宋体"/>
                <w:kern w:val="0"/>
              </w:rPr>
            </w:pPr>
            <w:r>
              <w:rPr>
                <w:rFonts w:ascii="宋体" w:hAnsi="宋体" w:eastAsia="宋体" w:cs="宋体"/>
                <w:kern w:val="0"/>
              </w:rPr>
              <w:t>4 管道直饮水蓄水箱的有效容积不宜小于最大日用水量的1</w:t>
            </w:r>
            <w:r>
              <w:rPr>
                <w:rFonts w:hint="eastAsia" w:ascii="宋体" w:hAnsi="宋体" w:eastAsia="宋体" w:cs="宋体"/>
                <w:kern w:val="0"/>
              </w:rPr>
              <w:t>.</w:t>
            </w:r>
            <w:r>
              <w:rPr>
                <w:rFonts w:ascii="宋体" w:hAnsi="宋体" w:eastAsia="宋体" w:cs="宋体"/>
                <w:kern w:val="0"/>
              </w:rPr>
              <w:t>2倍</w:t>
            </w:r>
            <w:r>
              <w:rPr>
                <w:rFonts w:hint="eastAsia" w:ascii="宋体" w:hAnsi="宋体" w:eastAsia="宋体" w:cs="宋体"/>
                <w:kern w:val="0"/>
              </w:rPr>
              <w:t>。</w:t>
            </w:r>
          </w:p>
          <w:p w14:paraId="491F9E93">
            <w:pPr>
              <w:ind w:firstLine="480" w:firstLineChars="200"/>
            </w:pPr>
            <w:r>
              <w:rPr>
                <w:rFonts w:ascii="宋体" w:hAnsi="宋体" w:eastAsia="宋体" w:cs="宋体"/>
                <w:kern w:val="0"/>
              </w:rPr>
              <w:t>5 应设水质分析室，直饮水水质分析每班不应少于2次</w:t>
            </w:r>
            <w:r>
              <w:rPr>
                <w:rFonts w:hint="eastAsia" w:ascii="宋体" w:hAnsi="宋体" w:eastAsia="宋体" w:cs="宋体"/>
                <w:kern w:val="0"/>
              </w:rPr>
              <w:t>。</w:t>
            </w:r>
          </w:p>
        </w:tc>
        <w:tc>
          <w:tcPr>
            <w:tcW w:w="4261" w:type="dxa"/>
          </w:tcPr>
          <w:p w14:paraId="5D135540">
            <w:pPr>
              <w:jc w:val="left"/>
              <w:rPr>
                <w:rFonts w:ascii="宋体" w:hAnsi="宋体" w:eastAsia="宋体" w:cs="宋体"/>
                <w:kern w:val="0"/>
              </w:rPr>
            </w:pPr>
            <w:r>
              <w:rPr>
                <w:rFonts w:ascii="宋体" w:hAnsi="宋体" w:eastAsia="宋体" w:cs="宋体"/>
                <w:bCs/>
                <w:kern w:val="0"/>
              </w:rPr>
              <w:t>6</w:t>
            </w:r>
            <w:r>
              <w:rPr>
                <w:rFonts w:hint="eastAsia" w:ascii="宋体" w:hAnsi="宋体" w:eastAsia="宋体" w:cs="宋体"/>
                <w:bCs/>
                <w:kern w:val="0"/>
              </w:rPr>
              <w:t>.</w:t>
            </w:r>
            <w:r>
              <w:rPr>
                <w:rFonts w:ascii="宋体" w:hAnsi="宋体" w:eastAsia="宋体" w:cs="宋体"/>
                <w:bCs/>
                <w:kern w:val="0"/>
              </w:rPr>
              <w:t>5</w:t>
            </w:r>
            <w:r>
              <w:rPr>
                <w:rFonts w:hint="eastAsia" w:ascii="宋体" w:hAnsi="宋体" w:eastAsia="宋体" w:cs="宋体"/>
                <w:bCs/>
                <w:kern w:val="0"/>
              </w:rPr>
              <w:t>.</w:t>
            </w:r>
            <w:r>
              <w:rPr>
                <w:rFonts w:ascii="宋体" w:hAnsi="宋体" w:eastAsia="宋体" w:cs="宋体"/>
                <w:bCs/>
                <w:kern w:val="0"/>
              </w:rPr>
              <w:t>3</w:t>
            </w:r>
            <w:r>
              <w:rPr>
                <w:rFonts w:hint="eastAsia" w:ascii="宋体" w:hAnsi="宋体" w:eastAsia="宋体" w:cs="宋体"/>
                <w:kern w:val="0"/>
              </w:rPr>
              <w:t xml:space="preserve"> </w:t>
            </w:r>
            <w:r>
              <w:rPr>
                <w:rFonts w:ascii="宋体" w:hAnsi="宋体" w:eastAsia="宋体" w:cs="宋体"/>
                <w:kern w:val="0"/>
              </w:rPr>
              <w:t>当采用</w:t>
            </w:r>
            <w:r>
              <w:rPr>
                <w:rFonts w:hint="eastAsia" w:ascii="宋体" w:hAnsi="宋体" w:eastAsia="宋体" w:cs="宋体"/>
                <w:kern w:val="0"/>
                <w:u w:val="single"/>
              </w:rPr>
              <w:t>优质</w:t>
            </w:r>
            <w:r>
              <w:rPr>
                <w:rFonts w:ascii="宋体" w:hAnsi="宋体" w:eastAsia="宋体" w:cs="宋体"/>
                <w:kern w:val="0"/>
              </w:rPr>
              <w:t>饮水系统时，应符合下列要求：</w:t>
            </w:r>
          </w:p>
          <w:p w14:paraId="49BA6F03">
            <w:pPr>
              <w:ind w:firstLine="480" w:firstLineChars="200"/>
              <w:jc w:val="left"/>
              <w:rPr>
                <w:rFonts w:ascii="宋体" w:hAnsi="宋体" w:eastAsia="宋体" w:cs="宋体"/>
                <w:kern w:val="0"/>
              </w:rPr>
            </w:pPr>
            <w:r>
              <w:rPr>
                <w:rFonts w:ascii="宋体" w:hAnsi="宋体" w:eastAsia="宋体" w:cs="宋体"/>
                <w:kern w:val="0"/>
              </w:rPr>
              <w:t>1 管道直饮水的水源应符合国家现行标准《生活饮用水卫生标准》GB5749和《饮用净水水质标准》CJ94等要求。</w:t>
            </w:r>
          </w:p>
          <w:p w14:paraId="10419C1C">
            <w:pPr>
              <w:ind w:firstLine="480" w:firstLineChars="200"/>
              <w:jc w:val="left"/>
              <w:rPr>
                <w:rFonts w:ascii="宋体" w:hAnsi="宋体" w:eastAsia="宋体" w:cs="宋体"/>
                <w:kern w:val="0"/>
              </w:rPr>
            </w:pPr>
            <w:r>
              <w:rPr>
                <w:rFonts w:ascii="宋体" w:hAnsi="宋体" w:eastAsia="宋体" w:cs="宋体"/>
                <w:kern w:val="0"/>
              </w:rPr>
              <w:t>2 管道直饮水水处理宜符合工艺流程要求</w:t>
            </w:r>
            <w:r>
              <w:rPr>
                <w:rFonts w:hint="eastAsia" w:ascii="宋体" w:hAnsi="宋体" w:eastAsia="宋体" w:cs="宋体"/>
                <w:kern w:val="0"/>
              </w:rPr>
              <w:t>（</w:t>
            </w:r>
            <w:r>
              <w:rPr>
                <w:rFonts w:ascii="宋体" w:hAnsi="宋体" w:eastAsia="宋体" w:cs="宋体"/>
                <w:kern w:val="0"/>
              </w:rPr>
              <w:t>图6</w:t>
            </w:r>
            <w:r>
              <w:rPr>
                <w:rFonts w:hint="eastAsia" w:ascii="宋体" w:hAnsi="宋体" w:eastAsia="宋体" w:cs="宋体"/>
                <w:kern w:val="0"/>
              </w:rPr>
              <w:t>.</w:t>
            </w:r>
            <w:r>
              <w:rPr>
                <w:rFonts w:ascii="宋体" w:hAnsi="宋体" w:eastAsia="宋体" w:cs="宋体"/>
                <w:kern w:val="0"/>
              </w:rPr>
              <w:t>5</w:t>
            </w:r>
            <w:r>
              <w:rPr>
                <w:rFonts w:hint="eastAsia" w:ascii="宋体" w:hAnsi="宋体" w:eastAsia="宋体" w:cs="宋体"/>
                <w:kern w:val="0"/>
              </w:rPr>
              <w:t>.</w:t>
            </w:r>
            <w:r>
              <w:rPr>
                <w:rFonts w:ascii="宋体" w:hAnsi="宋体" w:eastAsia="宋体" w:cs="宋体"/>
                <w:kern w:val="0"/>
              </w:rPr>
              <w:t>3），最后一级膜过滤应采用孔径为0</w:t>
            </w:r>
            <w:r>
              <w:rPr>
                <w:rFonts w:hint="eastAsia" w:ascii="宋体" w:hAnsi="宋体" w:eastAsia="宋体" w:cs="宋体"/>
                <w:kern w:val="0"/>
              </w:rPr>
              <w:t>.</w:t>
            </w:r>
            <w:r>
              <w:rPr>
                <w:rFonts w:ascii="宋体" w:hAnsi="宋体" w:eastAsia="宋体" w:cs="宋体"/>
                <w:kern w:val="0"/>
              </w:rPr>
              <w:t>20μm～0</w:t>
            </w:r>
            <w:r>
              <w:rPr>
                <w:rFonts w:hint="eastAsia" w:ascii="宋体" w:hAnsi="宋体" w:eastAsia="宋体" w:cs="宋体"/>
                <w:kern w:val="0"/>
              </w:rPr>
              <w:t>.</w:t>
            </w:r>
            <w:r>
              <w:rPr>
                <w:rFonts w:ascii="宋体" w:hAnsi="宋体" w:eastAsia="宋体" w:cs="宋体"/>
                <w:kern w:val="0"/>
              </w:rPr>
              <w:t>45μm的膜。</w:t>
            </w:r>
          </w:p>
          <w:p w14:paraId="400EA5BB">
            <w:pPr>
              <w:jc w:val="center"/>
              <w:rPr>
                <w:rFonts w:ascii="宋体" w:hAnsi="宋体" w:eastAsia="宋体" w:cs="宋体"/>
                <w:b/>
                <w:sz w:val="22"/>
              </w:rPr>
            </w:pPr>
            <w:r>
              <w:rPr>
                <w:rFonts w:ascii="宋体" w:hAnsi="宋体" w:eastAsia="宋体" w:cs="宋体"/>
                <w:b/>
                <w:sz w:val="22"/>
              </w:rPr>
              <w:drawing>
                <wp:inline distT="0" distB="0" distL="0" distR="0">
                  <wp:extent cx="2562225" cy="666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62225" cy="666750"/>
                          </a:xfrm>
                          <a:prstGeom prst="rect">
                            <a:avLst/>
                          </a:prstGeom>
                          <a:noFill/>
                          <a:ln>
                            <a:noFill/>
                          </a:ln>
                        </pic:spPr>
                      </pic:pic>
                    </a:graphicData>
                  </a:graphic>
                </wp:inline>
              </w:drawing>
            </w:r>
          </w:p>
          <w:p w14:paraId="0CF8BC52">
            <w:pPr>
              <w:jc w:val="center"/>
              <w:rPr>
                <w:rFonts w:ascii="宋体" w:hAnsi="宋体" w:eastAsia="宋体"/>
                <w:b/>
                <w:bCs/>
                <w:sz w:val="18"/>
                <w:szCs w:val="22"/>
              </w:rPr>
            </w:pPr>
            <w:r>
              <w:rPr>
                <w:rFonts w:hint="eastAsia" w:ascii="宋体" w:hAnsi="宋体" w:eastAsia="宋体"/>
                <w:b/>
                <w:bCs/>
                <w:sz w:val="18"/>
                <w:szCs w:val="22"/>
              </w:rPr>
              <w:t xml:space="preserve">图6.5.3 </w:t>
            </w:r>
            <w:r>
              <w:rPr>
                <w:rFonts w:ascii="宋体" w:hAnsi="宋体" w:eastAsia="宋体"/>
                <w:b/>
                <w:bCs/>
                <w:sz w:val="18"/>
                <w:szCs w:val="22"/>
              </w:rPr>
              <w:t>管道直饮水水处理工艺流程</w:t>
            </w:r>
          </w:p>
          <w:p w14:paraId="3D5D50E8">
            <w:pPr>
              <w:ind w:firstLine="480" w:firstLineChars="200"/>
              <w:rPr>
                <w:rFonts w:ascii="宋体" w:hAnsi="宋体" w:eastAsia="宋体" w:cs="宋体"/>
                <w:kern w:val="0"/>
              </w:rPr>
            </w:pPr>
            <w:r>
              <w:rPr>
                <w:rFonts w:ascii="宋体" w:hAnsi="宋体" w:eastAsia="宋体" w:cs="宋体"/>
                <w:kern w:val="0"/>
              </w:rPr>
              <w:t>3 管道直饮水的宜采用循环供水系统，回水管流速宜为</w:t>
            </w:r>
            <w:r>
              <w:rPr>
                <w:rFonts w:ascii="宋体" w:hAnsi="宋体" w:eastAsia="宋体" w:cs="宋体"/>
                <w:kern w:val="0"/>
                <w:u w:val="single"/>
              </w:rPr>
              <w:t>1</w:t>
            </w:r>
            <w:r>
              <w:rPr>
                <w:rFonts w:hint="eastAsia" w:ascii="宋体" w:hAnsi="宋体" w:eastAsia="宋体" w:cs="宋体"/>
                <w:kern w:val="0"/>
                <w:u w:val="single"/>
              </w:rPr>
              <w:t>.5</w:t>
            </w:r>
            <w:r>
              <w:rPr>
                <w:rFonts w:ascii="宋体" w:hAnsi="宋体" w:eastAsia="宋体" w:cs="宋体"/>
                <w:kern w:val="0"/>
                <w:u w:val="single"/>
              </w:rPr>
              <w:t>0m/s～</w:t>
            </w:r>
            <w:r>
              <w:rPr>
                <w:rFonts w:hint="eastAsia" w:ascii="宋体" w:hAnsi="宋体" w:eastAsia="宋体" w:cs="宋体"/>
                <w:kern w:val="0"/>
                <w:u w:val="single"/>
              </w:rPr>
              <w:t>3.0</w:t>
            </w:r>
            <w:r>
              <w:rPr>
                <w:rFonts w:ascii="宋体" w:hAnsi="宋体" w:eastAsia="宋体" w:cs="宋体"/>
                <w:kern w:val="0"/>
                <w:u w:val="single"/>
              </w:rPr>
              <w:t>0m</w:t>
            </w:r>
            <w:r>
              <w:rPr>
                <w:rFonts w:hint="eastAsia" w:ascii="宋体" w:hAnsi="宋体" w:eastAsia="宋体" w:cs="宋体"/>
                <w:kern w:val="0"/>
                <w:u w:val="single"/>
              </w:rPr>
              <w:t>/</w:t>
            </w:r>
            <w:r>
              <w:rPr>
                <w:rFonts w:ascii="宋体" w:hAnsi="宋体" w:eastAsia="宋体" w:cs="宋体"/>
                <w:kern w:val="0"/>
                <w:u w:val="single"/>
              </w:rPr>
              <w:t>s</w:t>
            </w:r>
            <w:r>
              <w:rPr>
                <w:rFonts w:ascii="宋体" w:hAnsi="宋体" w:eastAsia="宋体" w:cs="宋体"/>
                <w:kern w:val="0"/>
              </w:rPr>
              <w:t>，回水经膜滤和消毒后再用。管网末端盲管的最大长度不宜超过0</w:t>
            </w:r>
            <w:r>
              <w:rPr>
                <w:rFonts w:hint="eastAsia" w:ascii="宋体" w:hAnsi="宋体" w:eastAsia="宋体" w:cs="宋体"/>
                <w:kern w:val="0"/>
              </w:rPr>
              <w:t>.</w:t>
            </w:r>
            <w:r>
              <w:rPr>
                <w:rFonts w:ascii="宋体" w:hAnsi="宋体" w:eastAsia="宋体" w:cs="宋体"/>
                <w:kern w:val="0"/>
              </w:rPr>
              <w:t>50m</w:t>
            </w:r>
            <w:r>
              <w:rPr>
                <w:rFonts w:hint="eastAsia" w:ascii="宋体" w:hAnsi="宋体" w:eastAsia="宋体" w:cs="宋体"/>
                <w:kern w:val="0"/>
              </w:rPr>
              <w:t>。</w:t>
            </w:r>
          </w:p>
          <w:p w14:paraId="3FF5BA2F">
            <w:pPr>
              <w:ind w:firstLine="480" w:firstLineChars="200"/>
              <w:rPr>
                <w:rFonts w:ascii="宋体" w:hAnsi="宋体" w:eastAsia="宋体" w:cs="宋体"/>
                <w:kern w:val="0"/>
              </w:rPr>
            </w:pPr>
            <w:r>
              <w:rPr>
                <w:rFonts w:ascii="宋体" w:hAnsi="宋体" w:eastAsia="宋体" w:cs="宋体"/>
                <w:kern w:val="0"/>
              </w:rPr>
              <w:t>4 管道直饮水蓄水箱的有效容积不宜小于最大日用水量的1</w:t>
            </w:r>
            <w:r>
              <w:rPr>
                <w:rFonts w:hint="eastAsia" w:ascii="宋体" w:hAnsi="宋体" w:eastAsia="宋体" w:cs="宋体"/>
                <w:kern w:val="0"/>
              </w:rPr>
              <w:t>.</w:t>
            </w:r>
            <w:r>
              <w:rPr>
                <w:rFonts w:ascii="宋体" w:hAnsi="宋体" w:eastAsia="宋体" w:cs="宋体"/>
                <w:kern w:val="0"/>
              </w:rPr>
              <w:t>2倍</w:t>
            </w:r>
            <w:r>
              <w:rPr>
                <w:rFonts w:hint="eastAsia" w:ascii="宋体" w:hAnsi="宋体" w:eastAsia="宋体" w:cs="宋体"/>
                <w:kern w:val="0"/>
              </w:rPr>
              <w:t>。</w:t>
            </w:r>
          </w:p>
          <w:p w14:paraId="50F4781D">
            <w:pPr>
              <w:ind w:firstLine="480" w:firstLineChars="200"/>
              <w:rPr>
                <w:rFonts w:ascii="宋体" w:hAnsi="宋体" w:eastAsia="宋体" w:cs="宋体"/>
                <w:kern w:val="0"/>
              </w:rPr>
            </w:pPr>
            <w:r>
              <w:rPr>
                <w:rFonts w:ascii="宋体" w:hAnsi="宋体" w:eastAsia="宋体" w:cs="宋体"/>
                <w:kern w:val="0"/>
              </w:rPr>
              <w:t>5 应设水质分析室，直饮水水质分析每班不应少于2次</w:t>
            </w:r>
            <w:r>
              <w:rPr>
                <w:rFonts w:hint="eastAsia" w:ascii="宋体" w:hAnsi="宋体" w:eastAsia="宋体" w:cs="宋体"/>
                <w:kern w:val="0"/>
              </w:rPr>
              <w:t>。</w:t>
            </w:r>
          </w:p>
          <w:p w14:paraId="4DB0BE9C">
            <w:pPr>
              <w:ind w:firstLine="480" w:firstLineChars="200"/>
            </w:pPr>
            <w:r>
              <w:rPr>
                <w:rFonts w:hint="eastAsia" w:ascii="宋体" w:hAnsi="宋体" w:eastAsia="宋体" w:cs="宋体"/>
                <w:kern w:val="0"/>
                <w:u w:val="single"/>
              </w:rPr>
              <w:t>6 消毒宜采用紫外线，当采用臭氧消毒时，消毒后水的滞留时间应足够长，且臭氧残留浓度不应对饮用者口腔黏膜造成潜在的危害；末端取水水中臭氧残留浓度不宜小于0.01mg/L，且不应大于0.05mg/L。</w:t>
            </w:r>
          </w:p>
        </w:tc>
      </w:tr>
      <w:tr w14:paraId="1A721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77D616B">
            <w:pPr>
              <w:jc w:val="center"/>
              <w:rPr>
                <w:rFonts w:asciiTheme="minorEastAsia" w:hAnsiTheme="minorEastAsia"/>
              </w:rPr>
            </w:pPr>
            <w:bookmarkStart w:id="34" w:name="_Toc85880753"/>
            <w:r>
              <w:rPr>
                <w:rFonts w:asciiTheme="minorEastAsia" w:hAnsiTheme="minorEastAsia"/>
              </w:rPr>
              <w:t>6</w:t>
            </w:r>
            <w:r>
              <w:rPr>
                <w:rFonts w:hint="eastAsia" w:asciiTheme="minorEastAsia" w:hAnsiTheme="minorEastAsia"/>
              </w:rPr>
              <w:t>.</w:t>
            </w:r>
            <w:r>
              <w:rPr>
                <w:rFonts w:asciiTheme="minorEastAsia" w:hAnsiTheme="minorEastAsia"/>
              </w:rPr>
              <w:t>6 制剂和医疗用水</w:t>
            </w:r>
            <w:bookmarkEnd w:id="34"/>
          </w:p>
        </w:tc>
        <w:tc>
          <w:tcPr>
            <w:tcW w:w="4261" w:type="dxa"/>
          </w:tcPr>
          <w:p w14:paraId="400EFFA4">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6 制剂和医疗用水</w:t>
            </w:r>
          </w:p>
        </w:tc>
      </w:tr>
      <w:tr w14:paraId="4F475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52EC792"/>
        </w:tc>
        <w:tc>
          <w:tcPr>
            <w:tcW w:w="4261" w:type="dxa"/>
          </w:tcPr>
          <w:p w14:paraId="0EAAF360">
            <w:r>
              <w:rPr>
                <w:rFonts w:hint="eastAsia" w:cs="宋体" w:asciiTheme="minorEastAsia" w:hAnsiTheme="minorEastAsia"/>
                <w:kern w:val="0"/>
                <w:u w:val="single"/>
              </w:rPr>
              <w:t>6.6.1A 实验室用纯水应符合试验室分析化验要求。</w:t>
            </w:r>
          </w:p>
        </w:tc>
      </w:tr>
      <w:tr w14:paraId="48C1D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F621C89"/>
        </w:tc>
        <w:tc>
          <w:tcPr>
            <w:tcW w:w="4261" w:type="dxa"/>
          </w:tcPr>
          <w:p w14:paraId="71EDBEE9">
            <w:r>
              <w:rPr>
                <w:rFonts w:hint="eastAsia" w:cs="宋体" w:asciiTheme="minorEastAsia" w:hAnsiTheme="minorEastAsia"/>
                <w:kern w:val="0"/>
                <w:u w:val="single"/>
              </w:rPr>
              <w:t>6.6.1B 医疗康复训练用水应采用过滤消毒的处理工艺处理，循环水水质应符合《生活饮用水卫生标准》GB5749的有关规定或医疗工艺的要求。</w:t>
            </w:r>
          </w:p>
        </w:tc>
      </w:tr>
      <w:tr w14:paraId="53BA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F47F45C">
            <w:pPr>
              <w:jc w:val="center"/>
              <w:rPr>
                <w:rFonts w:asciiTheme="minorEastAsia" w:hAnsiTheme="minorEastAsia"/>
              </w:rPr>
            </w:pPr>
            <w:bookmarkStart w:id="35" w:name="_Toc85880755"/>
            <w:r>
              <w:rPr>
                <w:rFonts w:asciiTheme="minorEastAsia" w:hAnsiTheme="minorEastAsia"/>
              </w:rPr>
              <w:t>6</w:t>
            </w:r>
            <w:r>
              <w:rPr>
                <w:rFonts w:hint="eastAsia" w:asciiTheme="minorEastAsia" w:hAnsiTheme="minorEastAsia"/>
              </w:rPr>
              <w:t>.</w:t>
            </w:r>
            <w:r>
              <w:rPr>
                <w:rFonts w:asciiTheme="minorEastAsia" w:hAnsiTheme="minorEastAsia"/>
              </w:rPr>
              <w:t>8 污水处理</w:t>
            </w:r>
            <w:bookmarkEnd w:id="35"/>
          </w:p>
        </w:tc>
        <w:tc>
          <w:tcPr>
            <w:tcW w:w="4261" w:type="dxa"/>
          </w:tcPr>
          <w:p w14:paraId="16764ED5">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8 污水处理</w:t>
            </w:r>
          </w:p>
        </w:tc>
      </w:tr>
      <w:tr w14:paraId="7659A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713BE70"/>
        </w:tc>
        <w:tc>
          <w:tcPr>
            <w:tcW w:w="4261" w:type="dxa"/>
          </w:tcPr>
          <w:p w14:paraId="5B7D9C63">
            <w:pPr>
              <w:rPr>
                <w:rFonts w:ascii="宋体" w:hAnsi="宋体" w:eastAsia="宋体" w:cs="宋体"/>
                <w:kern w:val="0"/>
                <w:u w:val="single"/>
              </w:rPr>
            </w:pPr>
            <w:r>
              <w:rPr>
                <w:rFonts w:hint="eastAsia" w:ascii="宋体" w:hAnsi="宋体" w:eastAsia="宋体" w:cs="宋体"/>
                <w:kern w:val="0"/>
                <w:u w:val="single"/>
              </w:rPr>
              <w:t>6.8.1A 平疫结合综合医院的污水处理应符合下列规定：</w:t>
            </w:r>
          </w:p>
          <w:p w14:paraId="7CE569AA">
            <w:pPr>
              <w:ind w:firstLine="480" w:firstLineChars="200"/>
              <w:rPr>
                <w:rFonts w:ascii="宋体" w:hAnsi="宋体" w:eastAsia="宋体" w:cs="宋体"/>
                <w:kern w:val="0"/>
                <w:u w:val="single"/>
              </w:rPr>
            </w:pPr>
            <w:r>
              <w:rPr>
                <w:rFonts w:hint="eastAsia" w:ascii="宋体" w:hAnsi="宋体" w:eastAsia="宋体" w:cs="宋体"/>
                <w:kern w:val="0"/>
                <w:u w:val="single"/>
              </w:rPr>
              <w:t>1 应采取柔性设计原则，平时满足医院高效运行的要求，疫情期间满足不同疫情细菌和病毒的处理要求；</w:t>
            </w:r>
          </w:p>
          <w:p w14:paraId="08138796">
            <w:pPr>
              <w:ind w:firstLine="480" w:firstLineChars="200"/>
              <w:rPr>
                <w:rFonts w:ascii="宋体" w:hAnsi="宋体" w:eastAsia="宋体" w:cs="宋体"/>
                <w:kern w:val="0"/>
                <w:u w:val="single"/>
              </w:rPr>
            </w:pPr>
            <w:r>
              <w:rPr>
                <w:rFonts w:hint="eastAsia" w:ascii="宋体" w:hAnsi="宋体" w:eastAsia="宋体" w:cs="宋体"/>
                <w:kern w:val="0"/>
                <w:u w:val="single"/>
              </w:rPr>
              <w:t>2 当平疫结合区域为局部时，平疫结合区域的污水处理设置位置应就近设置在污染区；</w:t>
            </w:r>
          </w:p>
          <w:p w14:paraId="70453D76">
            <w:pPr>
              <w:ind w:firstLine="480" w:firstLineChars="200"/>
              <w:rPr>
                <w:rFonts w:ascii="宋体" w:hAnsi="宋体" w:eastAsia="宋体" w:cs="宋体"/>
                <w:kern w:val="0"/>
                <w:u w:val="single"/>
              </w:rPr>
            </w:pPr>
            <w:r>
              <w:rPr>
                <w:rFonts w:hint="eastAsia" w:ascii="宋体" w:hAnsi="宋体" w:eastAsia="宋体" w:cs="宋体"/>
                <w:kern w:val="0"/>
                <w:u w:val="single"/>
              </w:rPr>
              <w:t>3 平疫结合的污水处理工艺应采用双级强化消毒工艺；</w:t>
            </w:r>
          </w:p>
          <w:p w14:paraId="2B53CC02">
            <w:pPr>
              <w:ind w:firstLine="480" w:firstLineChars="200"/>
              <w:rPr>
                <w:rFonts w:ascii="宋体" w:hAnsi="宋体" w:eastAsia="宋体" w:cs="宋体"/>
                <w:kern w:val="0"/>
                <w:u w:val="single"/>
              </w:rPr>
            </w:pPr>
            <w:r>
              <w:rPr>
                <w:rFonts w:hint="eastAsia" w:ascii="宋体" w:hAnsi="宋体" w:eastAsia="宋体" w:cs="宋体"/>
                <w:kern w:val="0"/>
                <w:u w:val="single"/>
              </w:rPr>
              <w:t>4 平疫结合的污水处理设施应满足耐腐蚀和耐高温的要求；</w:t>
            </w:r>
          </w:p>
          <w:p w14:paraId="48C6312F">
            <w:pPr>
              <w:ind w:firstLine="480" w:firstLineChars="200"/>
            </w:pPr>
            <w:r>
              <w:rPr>
                <w:rFonts w:hint="eastAsia" w:ascii="宋体" w:hAnsi="宋体" w:eastAsia="宋体" w:cs="宋体"/>
                <w:kern w:val="0"/>
                <w:u w:val="single"/>
              </w:rPr>
              <w:t>5 污水处理池应密闭，尾气应统一收集消毒处理后排放。</w:t>
            </w:r>
          </w:p>
        </w:tc>
      </w:tr>
      <w:tr w14:paraId="7FD8B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802E716">
            <w:pPr>
              <w:jc w:val="center"/>
              <w:rPr>
                <w:rFonts w:asciiTheme="minorEastAsia" w:hAnsiTheme="minorEastAsia"/>
              </w:rPr>
            </w:pPr>
            <w:bookmarkStart w:id="36" w:name="_Toc85880756"/>
            <w:r>
              <w:rPr>
                <w:rFonts w:asciiTheme="minorEastAsia" w:hAnsiTheme="minorEastAsia"/>
              </w:rPr>
              <w:t>6</w:t>
            </w:r>
            <w:r>
              <w:rPr>
                <w:rFonts w:hint="eastAsia" w:asciiTheme="minorEastAsia" w:hAnsiTheme="minorEastAsia"/>
              </w:rPr>
              <w:t>.</w:t>
            </w:r>
            <w:r>
              <w:rPr>
                <w:rFonts w:asciiTheme="minorEastAsia" w:hAnsiTheme="minorEastAsia"/>
              </w:rPr>
              <w:t>9 管 材</w:t>
            </w:r>
            <w:bookmarkEnd w:id="36"/>
          </w:p>
        </w:tc>
        <w:tc>
          <w:tcPr>
            <w:tcW w:w="4261" w:type="dxa"/>
          </w:tcPr>
          <w:p w14:paraId="52682177">
            <w:pPr>
              <w:jc w:val="center"/>
              <w:rPr>
                <w:rFonts w:asciiTheme="minorEastAsia" w:hAnsiTheme="minorEastAsia"/>
              </w:rPr>
            </w:pPr>
            <w:r>
              <w:rPr>
                <w:rFonts w:asciiTheme="minorEastAsia" w:hAnsiTheme="minorEastAsia"/>
              </w:rPr>
              <w:t>6</w:t>
            </w:r>
            <w:r>
              <w:rPr>
                <w:rFonts w:hint="eastAsia" w:asciiTheme="minorEastAsia" w:hAnsiTheme="minorEastAsia"/>
              </w:rPr>
              <w:t>.</w:t>
            </w:r>
            <w:r>
              <w:rPr>
                <w:rFonts w:asciiTheme="minorEastAsia" w:hAnsiTheme="minorEastAsia"/>
              </w:rPr>
              <w:t>9 管 材</w:t>
            </w:r>
          </w:p>
        </w:tc>
      </w:tr>
      <w:tr w14:paraId="02AD6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6F1D8D7">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1</w:t>
            </w:r>
            <w:r>
              <w:rPr>
                <w:rFonts w:hint="eastAsia" w:cs="宋体" w:asciiTheme="minorEastAsia" w:hAnsiTheme="minorEastAsia"/>
                <w:kern w:val="0"/>
              </w:rPr>
              <w:t xml:space="preserve"> </w:t>
            </w:r>
            <w:r>
              <w:rPr>
                <w:rFonts w:cs="宋体" w:asciiTheme="minorEastAsia" w:hAnsiTheme="minorEastAsia"/>
                <w:kern w:val="0"/>
              </w:rPr>
              <w:t>给水和热水系统的管材应根据需要确定，可选用符合国家现行有关标准的不锈钢管、塑料</w:t>
            </w:r>
            <w:r>
              <w:rPr>
                <w:rFonts w:hint="eastAsia" w:cs="宋体" w:asciiTheme="minorEastAsia" w:hAnsiTheme="minorEastAsia"/>
                <w:kern w:val="0"/>
              </w:rPr>
              <w:t>管</w:t>
            </w:r>
            <w:r>
              <w:rPr>
                <w:rFonts w:cs="宋体" w:asciiTheme="minorEastAsia" w:hAnsiTheme="minorEastAsia"/>
                <w:kern w:val="0"/>
                <w:bdr w:val="single" w:color="auto" w:sz="4" w:space="0"/>
              </w:rPr>
              <w:t>、塑料与金属复合管和热镀锌钢管</w:t>
            </w:r>
            <w:r>
              <w:rPr>
                <w:rFonts w:cs="宋体" w:asciiTheme="minorEastAsia" w:hAnsiTheme="minorEastAsia"/>
                <w:kern w:val="0"/>
              </w:rPr>
              <w:t>等。</w:t>
            </w:r>
          </w:p>
        </w:tc>
        <w:tc>
          <w:tcPr>
            <w:tcW w:w="4261" w:type="dxa"/>
          </w:tcPr>
          <w:p w14:paraId="771884D9">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1</w:t>
            </w:r>
            <w:r>
              <w:rPr>
                <w:rFonts w:hint="eastAsia" w:cs="宋体" w:asciiTheme="minorEastAsia" w:hAnsiTheme="minorEastAsia"/>
                <w:kern w:val="0"/>
              </w:rPr>
              <w:t xml:space="preserve"> </w:t>
            </w:r>
            <w:r>
              <w:rPr>
                <w:rFonts w:cs="宋体" w:asciiTheme="minorEastAsia" w:hAnsiTheme="minorEastAsia"/>
                <w:kern w:val="0"/>
              </w:rPr>
              <w:t>给水和热水系统的管材应根据需要确定，可选用符合国家现行有关标准的</w:t>
            </w:r>
            <w:r>
              <w:rPr>
                <w:rFonts w:hint="eastAsia" w:cs="宋体" w:asciiTheme="minorEastAsia" w:hAnsiTheme="minorEastAsia"/>
                <w:kern w:val="0"/>
                <w:u w:val="single"/>
              </w:rPr>
              <w:t>紫铜管、</w:t>
            </w:r>
            <w:r>
              <w:rPr>
                <w:rFonts w:cs="宋体" w:asciiTheme="minorEastAsia" w:hAnsiTheme="minorEastAsia"/>
                <w:kern w:val="0"/>
              </w:rPr>
              <w:t>不锈钢管、</w:t>
            </w:r>
            <w:r>
              <w:rPr>
                <w:rFonts w:cs="宋体" w:asciiTheme="minorEastAsia" w:hAnsiTheme="minorEastAsia"/>
                <w:kern w:val="0"/>
                <w:u w:val="single"/>
              </w:rPr>
              <w:t>氯化聚氯乙烯</w:t>
            </w:r>
            <w:r>
              <w:rPr>
                <w:rFonts w:hint="eastAsia" w:cs="宋体" w:asciiTheme="minorEastAsia" w:hAnsiTheme="minorEastAsia"/>
                <w:kern w:val="0"/>
                <w:u w:val="single"/>
              </w:rPr>
              <w:t>CPVC等</w:t>
            </w:r>
            <w:r>
              <w:rPr>
                <w:rFonts w:cs="宋体" w:asciiTheme="minorEastAsia" w:hAnsiTheme="minorEastAsia"/>
                <w:kern w:val="0"/>
              </w:rPr>
              <w:t>塑料管等</w:t>
            </w:r>
            <w:r>
              <w:rPr>
                <w:rFonts w:hint="eastAsia" w:cs="宋体" w:asciiTheme="minorEastAsia" w:hAnsiTheme="minorEastAsia"/>
                <w:kern w:val="0"/>
                <w:u w:val="single"/>
              </w:rPr>
              <w:t>，</w:t>
            </w:r>
            <w:r>
              <w:rPr>
                <w:rFonts w:cs="宋体" w:asciiTheme="minorEastAsia" w:hAnsiTheme="minorEastAsia"/>
                <w:kern w:val="0"/>
                <w:u w:val="single"/>
              </w:rPr>
              <w:t>当必须采用</w:t>
            </w:r>
            <w:r>
              <w:rPr>
                <w:rFonts w:hint="eastAsia" w:cs="宋体" w:asciiTheme="minorEastAsia" w:hAnsiTheme="minorEastAsia"/>
                <w:kern w:val="0"/>
                <w:u w:val="single"/>
              </w:rPr>
              <w:t>塑料与金属复合管时，不应有现场切割的湿作业工序</w:t>
            </w:r>
            <w:r>
              <w:rPr>
                <w:rFonts w:cs="宋体" w:asciiTheme="minorEastAsia" w:hAnsiTheme="minorEastAsia"/>
                <w:kern w:val="0"/>
              </w:rPr>
              <w:t>。</w:t>
            </w:r>
          </w:p>
        </w:tc>
      </w:tr>
      <w:tr w14:paraId="3BF10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0CA6577">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2</w:t>
            </w:r>
            <w:r>
              <w:rPr>
                <w:rFonts w:hint="eastAsia" w:cs="宋体" w:asciiTheme="minorEastAsia" w:hAnsiTheme="minorEastAsia"/>
                <w:kern w:val="0"/>
              </w:rPr>
              <w:t xml:space="preserve"> </w:t>
            </w:r>
            <w:r>
              <w:rPr>
                <w:rFonts w:cs="宋体" w:asciiTheme="minorEastAsia" w:hAnsiTheme="minorEastAsia"/>
                <w:kern w:val="0"/>
              </w:rPr>
              <w:t>排水系统的管材可选用机制排水铸铁管或塑料管。雨水排水管道应根据建筑高度确定其排水压力，并应选择合适的承压管道。</w:t>
            </w:r>
          </w:p>
        </w:tc>
        <w:tc>
          <w:tcPr>
            <w:tcW w:w="4261" w:type="dxa"/>
          </w:tcPr>
          <w:p w14:paraId="7FA36F47">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2</w:t>
            </w:r>
            <w:r>
              <w:rPr>
                <w:rFonts w:hint="eastAsia" w:cs="宋体" w:asciiTheme="minorEastAsia" w:hAnsiTheme="minorEastAsia"/>
                <w:kern w:val="0"/>
              </w:rPr>
              <w:t xml:space="preserve"> </w:t>
            </w:r>
            <w:r>
              <w:rPr>
                <w:rFonts w:cs="宋体" w:asciiTheme="minorEastAsia" w:hAnsiTheme="minorEastAsia"/>
                <w:kern w:val="0"/>
              </w:rPr>
              <w:t>排水系统的管材可选用机制排水铸铁管或塑料管</w:t>
            </w:r>
            <w:r>
              <w:rPr>
                <w:rFonts w:hint="eastAsia" w:cs="宋体" w:asciiTheme="minorEastAsia" w:hAnsiTheme="minorEastAsia"/>
                <w:kern w:val="0"/>
                <w:u w:val="single"/>
              </w:rPr>
              <w:t>，“平疫结合”区域的污水排水系统应采用耐腐蚀的塑料管道</w:t>
            </w:r>
            <w:r>
              <w:rPr>
                <w:rFonts w:cs="宋体" w:asciiTheme="minorEastAsia" w:hAnsiTheme="minorEastAsia"/>
                <w:kern w:val="0"/>
              </w:rPr>
              <w:t>。雨水排水管道应根据建筑高度确定其排水压力，并应选择合适的承压管道。</w:t>
            </w:r>
          </w:p>
        </w:tc>
      </w:tr>
      <w:tr w14:paraId="01AB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7BEB51C"/>
        </w:tc>
        <w:tc>
          <w:tcPr>
            <w:tcW w:w="4261" w:type="dxa"/>
          </w:tcPr>
          <w:p w14:paraId="5A36C18C">
            <w:r>
              <w:rPr>
                <w:rFonts w:hint="eastAsia" w:cs="宋体" w:asciiTheme="minorEastAsia" w:hAnsiTheme="minorEastAsia"/>
                <w:kern w:val="0"/>
                <w:u w:val="single"/>
              </w:rPr>
              <w:t>6.9.2A 锅炉排污水、中心（消毒）供应室的消毒凝结水、开水间等高温排水场所的排水管道应采用机制排水铸铁管。</w:t>
            </w:r>
          </w:p>
        </w:tc>
      </w:tr>
      <w:tr w14:paraId="474D4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C5E71F5">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 xml:space="preserve">3 </w:t>
            </w:r>
            <w:r>
              <w:rPr>
                <w:rFonts w:cs="宋体" w:asciiTheme="minorEastAsia" w:hAnsiTheme="minorEastAsia"/>
                <w:kern w:val="0"/>
                <w:bdr w:val="single" w:color="auto" w:sz="4" w:space="0"/>
              </w:rPr>
              <w:t>直</w:t>
            </w:r>
            <w:r>
              <w:rPr>
                <w:rFonts w:cs="宋体" w:asciiTheme="minorEastAsia" w:hAnsiTheme="minorEastAsia"/>
                <w:kern w:val="0"/>
              </w:rPr>
              <w:t>饮水系统管材宜采用不锈钢管。</w:t>
            </w:r>
          </w:p>
        </w:tc>
        <w:tc>
          <w:tcPr>
            <w:tcW w:w="4261" w:type="dxa"/>
          </w:tcPr>
          <w:p w14:paraId="0E46A5A4">
            <w:r>
              <w:rPr>
                <w:rFonts w:cs="宋体" w:asciiTheme="minorEastAsia" w:hAnsiTheme="minorEastAsia"/>
                <w:bCs/>
                <w:kern w:val="0"/>
              </w:rPr>
              <w:t>6</w:t>
            </w:r>
            <w:r>
              <w:rPr>
                <w:rFonts w:hint="eastAsia" w:cs="宋体" w:asciiTheme="minorEastAsia" w:hAnsiTheme="minorEastAsia"/>
                <w:bCs/>
                <w:kern w:val="0"/>
              </w:rPr>
              <w:t>.</w:t>
            </w:r>
            <w:r>
              <w:rPr>
                <w:rFonts w:cs="宋体" w:asciiTheme="minorEastAsia" w:hAnsiTheme="minorEastAsia"/>
                <w:bCs/>
                <w:kern w:val="0"/>
              </w:rPr>
              <w:t>9</w:t>
            </w:r>
            <w:r>
              <w:rPr>
                <w:rFonts w:hint="eastAsia" w:cs="宋体" w:asciiTheme="minorEastAsia" w:hAnsiTheme="minorEastAsia"/>
                <w:bCs/>
                <w:kern w:val="0"/>
              </w:rPr>
              <w:t>.</w:t>
            </w:r>
            <w:r>
              <w:rPr>
                <w:rFonts w:cs="宋体" w:asciiTheme="minorEastAsia" w:hAnsiTheme="minorEastAsia"/>
                <w:bCs/>
                <w:kern w:val="0"/>
              </w:rPr>
              <w:t xml:space="preserve">3 </w:t>
            </w:r>
            <w:r>
              <w:rPr>
                <w:rFonts w:cs="宋体" w:asciiTheme="minorEastAsia" w:hAnsiTheme="minorEastAsia"/>
                <w:kern w:val="0"/>
                <w:u w:val="single"/>
              </w:rPr>
              <w:t>优质</w:t>
            </w:r>
            <w:r>
              <w:rPr>
                <w:rFonts w:cs="宋体" w:asciiTheme="minorEastAsia" w:hAnsiTheme="minorEastAsia"/>
                <w:kern w:val="0"/>
              </w:rPr>
              <w:t>饮水系统管材宜采用</w:t>
            </w:r>
            <w:r>
              <w:rPr>
                <w:rFonts w:hint="eastAsia" w:cs="宋体" w:asciiTheme="minorEastAsia" w:hAnsiTheme="minorEastAsia"/>
                <w:kern w:val="0"/>
                <w:u w:val="single"/>
              </w:rPr>
              <w:t>镜面</w:t>
            </w:r>
            <w:r>
              <w:rPr>
                <w:rFonts w:cs="宋体" w:asciiTheme="minorEastAsia" w:hAnsiTheme="minorEastAsia"/>
                <w:kern w:val="0"/>
              </w:rPr>
              <w:t>不锈钢管。</w:t>
            </w:r>
          </w:p>
        </w:tc>
      </w:tr>
      <w:tr w14:paraId="6DE70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758A258">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7.采暖、通风及空调系统</w:t>
            </w:r>
          </w:p>
        </w:tc>
        <w:tc>
          <w:tcPr>
            <w:tcW w:w="4261" w:type="dxa"/>
          </w:tcPr>
          <w:p w14:paraId="3E58C0BE">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7.采暖、通风及空调系统</w:t>
            </w:r>
          </w:p>
        </w:tc>
      </w:tr>
      <w:tr w14:paraId="75E7B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386A892">
            <w:pPr>
              <w:jc w:val="center"/>
              <w:rPr>
                <w:rFonts w:asciiTheme="minorEastAsia" w:hAnsiTheme="minorEastAsia"/>
              </w:rPr>
            </w:pPr>
            <w:r>
              <w:rPr>
                <w:rFonts w:hint="eastAsia" w:asciiTheme="minorEastAsia" w:hAnsiTheme="minorEastAsia"/>
              </w:rPr>
              <w:t>7.1 一般规定</w:t>
            </w:r>
          </w:p>
        </w:tc>
        <w:tc>
          <w:tcPr>
            <w:tcW w:w="4261" w:type="dxa"/>
          </w:tcPr>
          <w:p w14:paraId="6FFDC7D2">
            <w:pPr>
              <w:jc w:val="center"/>
              <w:rPr>
                <w:rFonts w:asciiTheme="minorEastAsia" w:hAnsiTheme="minorEastAsia"/>
              </w:rPr>
            </w:pPr>
            <w:r>
              <w:rPr>
                <w:rFonts w:hint="eastAsia" w:asciiTheme="minorEastAsia" w:hAnsiTheme="minorEastAsia"/>
              </w:rPr>
              <w:t>7.1 一般规定</w:t>
            </w:r>
          </w:p>
        </w:tc>
      </w:tr>
      <w:tr w14:paraId="42035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5F8F951">
            <w:r>
              <w:rPr>
                <w:rFonts w:ascii="宋体" w:hAnsi="宋体" w:eastAsia="宋体"/>
              </w:rPr>
              <w:t>7.1.3 符合本规范表7.2.2规定的Ⅲ级、Ⅳ级洁净用房，</w:t>
            </w:r>
            <w:r>
              <w:rPr>
                <w:rFonts w:ascii="宋体" w:hAnsi="宋体" w:eastAsia="宋体"/>
                <w:bdr w:val="single" w:color="auto" w:sz="4" w:space="0"/>
              </w:rPr>
              <w:t>应</w:t>
            </w:r>
            <w:r>
              <w:rPr>
                <w:rFonts w:ascii="宋体" w:hAnsi="宋体" w:eastAsia="宋体"/>
              </w:rPr>
              <w:t>采用板式或光管式散热器采暖</w:t>
            </w:r>
            <w:r>
              <w:rPr>
                <w:rFonts w:hint="eastAsia" w:ascii="宋体" w:hAnsi="宋体" w:eastAsia="宋体"/>
              </w:rPr>
              <w:t>，</w:t>
            </w:r>
            <w:r>
              <w:rPr>
                <w:rFonts w:ascii="宋体" w:hAnsi="宋体" w:eastAsia="宋体"/>
                <w:bdr w:val="single" w:color="auto" w:sz="4" w:space="0"/>
              </w:rPr>
              <w:t>且</w:t>
            </w:r>
            <w:r>
              <w:rPr>
                <w:rFonts w:ascii="宋体" w:hAnsi="宋体" w:eastAsia="宋体"/>
              </w:rPr>
              <w:t>应采取防护、防尘措施。</w:t>
            </w:r>
          </w:p>
        </w:tc>
        <w:tc>
          <w:tcPr>
            <w:tcW w:w="4261" w:type="dxa"/>
          </w:tcPr>
          <w:p w14:paraId="4B817F74">
            <w:r>
              <w:rPr>
                <w:rFonts w:ascii="宋体" w:hAnsi="宋体" w:eastAsia="宋体"/>
              </w:rPr>
              <w:t>7.1.3 符合本规范表7.2.2规定的Ⅲ级、Ⅳ级洁净用房，采用板式或光管式散热器采暖</w:t>
            </w:r>
            <w:r>
              <w:rPr>
                <w:rFonts w:ascii="宋体" w:hAnsi="宋体" w:eastAsia="宋体"/>
                <w:u w:val="single"/>
              </w:rPr>
              <w:t>时</w:t>
            </w:r>
            <w:r>
              <w:rPr>
                <w:rFonts w:ascii="宋体" w:hAnsi="宋体" w:eastAsia="宋体"/>
              </w:rPr>
              <w:t>，应采取防护、防尘措施。</w:t>
            </w:r>
          </w:p>
        </w:tc>
      </w:tr>
      <w:tr w14:paraId="33100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4F84506">
            <w:r>
              <w:rPr>
                <w:rFonts w:hint="eastAsia" w:asciiTheme="minorEastAsia" w:hAnsiTheme="minorEastAsia"/>
                <w:bCs/>
              </w:rPr>
              <w:t>7.1.5 当采用自然通风时，</w:t>
            </w:r>
            <w:r>
              <w:rPr>
                <w:rFonts w:hint="eastAsia" w:asciiTheme="minorEastAsia" w:hAnsiTheme="minorEastAsia"/>
                <w:bCs/>
                <w:bdr w:val="single" w:color="auto" w:sz="4" w:space="0"/>
              </w:rPr>
              <w:t>中庭内不</w:t>
            </w:r>
            <w:r>
              <w:rPr>
                <w:rFonts w:hint="eastAsia" w:asciiTheme="minorEastAsia" w:hAnsiTheme="minorEastAsia"/>
                <w:bCs/>
              </w:rPr>
              <w:t>宜有遮挡物，当有遮挡物时宜辅之以机械排风。气候条件适合地区，可利用穿堂风，应保持清洁区域位于通风的上风侧。</w:t>
            </w:r>
          </w:p>
        </w:tc>
        <w:tc>
          <w:tcPr>
            <w:tcW w:w="4261" w:type="dxa"/>
          </w:tcPr>
          <w:p w14:paraId="137CBA9E">
            <w:r>
              <w:rPr>
                <w:rFonts w:hint="eastAsia" w:asciiTheme="minorEastAsia" w:hAnsiTheme="minorEastAsia"/>
                <w:bCs/>
              </w:rPr>
              <w:t>7.1.5 当采用自然通风时，宜有遮挡物，当有遮挡物时宜辅之以机械排风。气候条件适合地区，可利用穿堂风，应保持清洁区域位于通风的上风侧。</w:t>
            </w:r>
          </w:p>
        </w:tc>
      </w:tr>
      <w:tr w14:paraId="33900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8A2AD7F">
            <w:pPr>
              <w:rPr>
                <w:rFonts w:ascii="宋体" w:hAnsi="宋体" w:eastAsia="宋体"/>
              </w:rPr>
            </w:pPr>
            <w:r>
              <w:rPr>
                <w:rFonts w:ascii="宋体" w:hAnsi="宋体" w:eastAsia="宋体"/>
              </w:rPr>
              <w:t>7.1.7 空调系统应符合下列要求：</w:t>
            </w:r>
          </w:p>
          <w:p w14:paraId="63E68C12">
            <w:pPr>
              <w:ind w:firstLine="480" w:firstLineChars="200"/>
              <w:rPr>
                <w:rFonts w:ascii="宋体" w:hAnsi="宋体" w:eastAsia="宋体"/>
              </w:rPr>
            </w:pPr>
            <w:r>
              <w:rPr>
                <w:rFonts w:ascii="宋体" w:hAnsi="宋体" w:eastAsia="宋体"/>
              </w:rPr>
              <w:t>1 应根据室内空调设计参数、医疗设备、卫生学、使用时间、空调负荷等要求合理分区；</w:t>
            </w:r>
          </w:p>
          <w:p w14:paraId="1E986B74">
            <w:pPr>
              <w:ind w:firstLine="480" w:firstLineChars="200"/>
              <w:rPr>
                <w:rFonts w:ascii="宋体" w:hAnsi="宋体" w:eastAsia="宋体"/>
              </w:rPr>
            </w:pPr>
            <w:r>
              <w:rPr>
                <w:rFonts w:ascii="宋体" w:hAnsi="宋体" w:eastAsia="宋体"/>
              </w:rPr>
              <w:t>2 各功能区域宜独立，宜单独成系统；</w:t>
            </w:r>
          </w:p>
          <w:p w14:paraId="585EFD9B">
            <w:pPr>
              <w:ind w:firstLine="480" w:firstLineChars="200"/>
              <w:rPr>
                <w:rFonts w:ascii="宋体" w:hAnsi="宋体" w:eastAsia="宋体"/>
              </w:rPr>
            </w:pPr>
            <w:r>
              <w:rPr>
                <w:rFonts w:ascii="宋体" w:hAnsi="宋体" w:eastAsia="宋体"/>
              </w:rPr>
              <w:t>3 各空调分区</w:t>
            </w:r>
            <w:r>
              <w:rPr>
                <w:rFonts w:ascii="宋体" w:hAnsi="宋体" w:eastAsia="宋体"/>
                <w:bdr w:val="single" w:color="auto" w:sz="4" w:space="0"/>
              </w:rPr>
              <w:t>应</w:t>
            </w:r>
            <w:r>
              <w:rPr>
                <w:rFonts w:ascii="宋体" w:hAnsi="宋体" w:eastAsia="宋体"/>
              </w:rPr>
              <w:t>能互相封闭，并应避免空气途径的医院感染；</w:t>
            </w:r>
          </w:p>
          <w:p w14:paraId="4F34138D">
            <w:pPr>
              <w:ind w:firstLine="480" w:firstLineChars="200"/>
            </w:pPr>
            <w:r>
              <w:rPr>
                <w:rFonts w:ascii="宋体" w:hAnsi="宋体" w:eastAsia="宋体"/>
              </w:rPr>
              <w:t>4 有洁净度要求的房间和严重污染的房间，应单独成一个系统。</w:t>
            </w:r>
          </w:p>
        </w:tc>
        <w:tc>
          <w:tcPr>
            <w:tcW w:w="4261" w:type="dxa"/>
          </w:tcPr>
          <w:p w14:paraId="1BDEE5D0">
            <w:pPr>
              <w:rPr>
                <w:rFonts w:ascii="宋体" w:hAnsi="宋体" w:eastAsia="宋体"/>
              </w:rPr>
            </w:pPr>
            <w:r>
              <w:rPr>
                <w:rFonts w:ascii="宋体" w:hAnsi="宋体" w:eastAsia="宋体"/>
              </w:rPr>
              <w:t>7.1.7 空调系统应符合下列要求：</w:t>
            </w:r>
          </w:p>
          <w:p w14:paraId="51230B04">
            <w:pPr>
              <w:ind w:firstLine="480" w:firstLineChars="200"/>
              <w:rPr>
                <w:rFonts w:ascii="宋体" w:hAnsi="宋体" w:eastAsia="宋体"/>
              </w:rPr>
            </w:pPr>
            <w:r>
              <w:rPr>
                <w:rFonts w:ascii="宋体" w:hAnsi="宋体" w:eastAsia="宋体"/>
              </w:rPr>
              <w:t>1 应根据室内空调设计参数、医疗设备、卫生学、使用时间、空调负荷等要求合理分区；</w:t>
            </w:r>
          </w:p>
          <w:p w14:paraId="486A89F8">
            <w:pPr>
              <w:ind w:firstLine="480" w:firstLineChars="200"/>
              <w:rPr>
                <w:rFonts w:ascii="宋体" w:hAnsi="宋体" w:eastAsia="宋体"/>
              </w:rPr>
            </w:pPr>
            <w:r>
              <w:rPr>
                <w:rFonts w:ascii="宋体" w:hAnsi="宋体" w:eastAsia="宋体"/>
              </w:rPr>
              <w:t>2 各功能区域宜独立，宜单独成系统；</w:t>
            </w:r>
          </w:p>
          <w:p w14:paraId="3A3BD00D">
            <w:pPr>
              <w:ind w:firstLine="480" w:firstLineChars="200"/>
              <w:rPr>
                <w:rFonts w:ascii="宋体" w:hAnsi="宋体" w:eastAsia="宋体"/>
              </w:rPr>
            </w:pPr>
            <w:r>
              <w:rPr>
                <w:rFonts w:ascii="宋体" w:hAnsi="宋体" w:eastAsia="宋体"/>
              </w:rPr>
              <w:t>3 各空调分区</w:t>
            </w:r>
            <w:r>
              <w:rPr>
                <w:rFonts w:ascii="宋体" w:hAnsi="宋体" w:eastAsia="宋体"/>
                <w:u w:val="single"/>
              </w:rPr>
              <w:t>宜</w:t>
            </w:r>
            <w:r>
              <w:rPr>
                <w:rFonts w:ascii="宋体" w:hAnsi="宋体" w:eastAsia="宋体"/>
              </w:rPr>
              <w:t>能互相封闭，并应避免空气途径的医院感染；</w:t>
            </w:r>
          </w:p>
          <w:p w14:paraId="23A95E36">
            <w:pPr>
              <w:ind w:firstLine="480" w:firstLineChars="200"/>
            </w:pPr>
            <w:r>
              <w:rPr>
                <w:rFonts w:ascii="宋体" w:hAnsi="宋体" w:eastAsia="宋体"/>
              </w:rPr>
              <w:t>4 有洁净度要求的房间和严重污染的房间，应单独成一个系统。</w:t>
            </w:r>
          </w:p>
        </w:tc>
      </w:tr>
      <w:tr w14:paraId="4DA95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8A1A388">
            <w:r>
              <w:rPr>
                <w:rFonts w:hint="eastAsia" w:asciiTheme="minorEastAsia" w:hAnsiTheme="minorEastAsia"/>
                <w:bCs/>
              </w:rPr>
              <w:t>7.1.8 无特殊要求时不应在空调机组内安装臭氧</w:t>
            </w:r>
            <w:r>
              <w:rPr>
                <w:rFonts w:hint="eastAsia" w:asciiTheme="minorEastAsia" w:hAnsiTheme="minorEastAsia"/>
                <w:bCs/>
                <w:bdr w:val="single" w:color="auto" w:sz="4" w:space="0"/>
              </w:rPr>
              <w:t>等</w:t>
            </w:r>
            <w:r>
              <w:rPr>
                <w:rFonts w:hint="eastAsia" w:asciiTheme="minorEastAsia" w:hAnsiTheme="minorEastAsia"/>
                <w:bCs/>
              </w:rPr>
              <w:t>消毒装置。不得使用淋水式空气处理装置。</w:t>
            </w:r>
          </w:p>
        </w:tc>
        <w:tc>
          <w:tcPr>
            <w:tcW w:w="4261" w:type="dxa"/>
          </w:tcPr>
          <w:p w14:paraId="2C0B6EE0">
            <w:r>
              <w:rPr>
                <w:rFonts w:hint="eastAsia" w:asciiTheme="minorEastAsia" w:hAnsiTheme="minorEastAsia"/>
                <w:bCs/>
              </w:rPr>
              <w:t>7.1.8 无特殊要求时不应在空调机组内安装臭氧</w:t>
            </w:r>
            <w:r>
              <w:rPr>
                <w:rFonts w:hint="eastAsia" w:asciiTheme="minorEastAsia" w:hAnsiTheme="minorEastAsia"/>
                <w:bCs/>
                <w:u w:val="single"/>
              </w:rPr>
              <w:t>、能产生有害气体或能刺激微生物变异的</w:t>
            </w:r>
            <w:r>
              <w:rPr>
                <w:rFonts w:hint="eastAsia" w:asciiTheme="minorEastAsia" w:hAnsiTheme="minorEastAsia"/>
                <w:bCs/>
              </w:rPr>
              <w:t>消毒装置。不得使用淋水式空气处理装置。</w:t>
            </w:r>
          </w:p>
        </w:tc>
      </w:tr>
      <w:tr w14:paraId="55BE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3CA2642">
            <w:r>
              <w:rPr>
                <w:rFonts w:asciiTheme="minorEastAsia" w:hAnsiTheme="minorEastAsia"/>
              </w:rPr>
              <w:t>7.1.12 当室外可吸入颗粒物PM10的年均值未超过现行国家标准《环境空气质量标准》GB3095中二类区适用的二级浓度限值时，新风</w:t>
            </w:r>
            <w:r>
              <w:rPr>
                <w:rFonts w:asciiTheme="minorEastAsia" w:hAnsiTheme="minorEastAsia"/>
                <w:bdr w:val="single" w:color="auto" w:sz="4" w:space="0"/>
              </w:rPr>
              <w:t>采集口</w:t>
            </w:r>
            <w:r>
              <w:rPr>
                <w:rFonts w:asciiTheme="minorEastAsia" w:hAnsiTheme="minorEastAsia"/>
              </w:rPr>
              <w:t>应至少设置粗效和中效两级过滤器，当室外PM10超过年平均二级浓度限值时，应再增加一道高中效过滤器。</w:t>
            </w:r>
          </w:p>
        </w:tc>
        <w:tc>
          <w:tcPr>
            <w:tcW w:w="4261" w:type="dxa"/>
          </w:tcPr>
          <w:p w14:paraId="2D2A95B5">
            <w:r>
              <w:rPr>
                <w:rFonts w:asciiTheme="minorEastAsia" w:hAnsiTheme="minorEastAsia"/>
              </w:rPr>
              <w:t>7.1.12 当室外可吸入颗粒物PM10的年均值未超过现行国家标准《环境空气质量标准》GB3095中二类区适用的二级浓度限值时，新风</w:t>
            </w:r>
            <w:r>
              <w:rPr>
                <w:rFonts w:asciiTheme="minorEastAsia" w:hAnsiTheme="minorEastAsia"/>
                <w:u w:val="single"/>
              </w:rPr>
              <w:t>系统</w:t>
            </w:r>
            <w:r>
              <w:rPr>
                <w:rFonts w:asciiTheme="minorEastAsia" w:hAnsiTheme="minorEastAsia"/>
              </w:rPr>
              <w:t>应至少设置粗效和中效两级过滤器，当室外PM10超过年平均二级浓度限值时，应再增加一道高中效过滤器。</w:t>
            </w:r>
          </w:p>
        </w:tc>
      </w:tr>
      <w:tr w14:paraId="072CE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7B61A68"/>
        </w:tc>
        <w:tc>
          <w:tcPr>
            <w:tcW w:w="4261" w:type="dxa"/>
          </w:tcPr>
          <w:p w14:paraId="20200357">
            <w:r>
              <w:rPr>
                <w:rFonts w:hint="eastAsia" w:asciiTheme="minorEastAsia" w:hAnsiTheme="minorEastAsia"/>
                <w:bCs/>
                <w:u w:val="single"/>
              </w:rPr>
              <w:t>7.1.13A</w:t>
            </w:r>
            <w:r>
              <w:rPr>
                <w:rFonts w:asciiTheme="minorEastAsia" w:hAnsiTheme="minorEastAsia"/>
                <w:bCs/>
                <w:u w:val="single"/>
              </w:rPr>
              <w:t xml:space="preserve"> </w:t>
            </w:r>
            <w:r>
              <w:rPr>
                <w:rFonts w:hint="eastAsia" w:asciiTheme="minorEastAsia" w:hAnsiTheme="minorEastAsia"/>
                <w:bCs/>
                <w:u w:val="single"/>
              </w:rPr>
              <w:t>“平疫结合”区集中空调系统疫情期间医疗用房的换气次数应比本规范第7.1.10条规定增加1倍，新风量应在本规范第7.1.13条规定基础上至少增加50%或采用全新风。</w:t>
            </w:r>
          </w:p>
        </w:tc>
      </w:tr>
      <w:tr w14:paraId="43895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0D91862"/>
        </w:tc>
        <w:tc>
          <w:tcPr>
            <w:tcW w:w="4261" w:type="dxa"/>
          </w:tcPr>
          <w:p w14:paraId="038940D8">
            <w:r>
              <w:rPr>
                <w:rFonts w:hint="eastAsia" w:asciiTheme="minorEastAsia" w:hAnsiTheme="minorEastAsia"/>
                <w:bCs/>
                <w:u w:val="single"/>
              </w:rPr>
              <w:t>7.1.13B “平疫结合”区集中空调系统的设备选型应兼顾平时和疫情期间的使用需求。</w:t>
            </w:r>
          </w:p>
        </w:tc>
      </w:tr>
      <w:tr w14:paraId="06507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8050C7A">
            <w:r>
              <w:rPr>
                <w:rFonts w:hint="eastAsia" w:asciiTheme="minorEastAsia" w:hAnsiTheme="minorEastAsia"/>
                <w:bCs/>
              </w:rPr>
              <w:t>7.1.14 核医学检查室、放射治疗室、病理取材室、检验科、</w:t>
            </w:r>
            <w:r>
              <w:rPr>
                <w:rFonts w:hint="eastAsia" w:asciiTheme="minorEastAsia" w:hAnsiTheme="minorEastAsia"/>
                <w:bCs/>
                <w:bdr w:val="single" w:color="auto" w:sz="4" w:space="0"/>
              </w:rPr>
              <w:t>传染</w:t>
            </w:r>
            <w:r>
              <w:rPr>
                <w:rFonts w:hint="eastAsia" w:asciiTheme="minorEastAsia" w:hAnsiTheme="minorEastAsia"/>
                <w:bCs/>
              </w:rPr>
              <w:t>病病房等含有害微生物、有害气溶胶等污染物质场所的排风，应处理达标后排放。</w:t>
            </w:r>
          </w:p>
        </w:tc>
        <w:tc>
          <w:tcPr>
            <w:tcW w:w="4261" w:type="dxa"/>
          </w:tcPr>
          <w:p w14:paraId="44BC492F">
            <w:r>
              <w:rPr>
                <w:rFonts w:hint="eastAsia" w:asciiTheme="minorEastAsia" w:hAnsiTheme="minorEastAsia"/>
                <w:bCs/>
              </w:rPr>
              <w:t>7.1.14 核医学检查室、放射治疗室、病理取材室、检验科、</w:t>
            </w:r>
            <w:r>
              <w:rPr>
                <w:rFonts w:hint="eastAsia" w:asciiTheme="minorEastAsia" w:hAnsiTheme="minorEastAsia"/>
                <w:bCs/>
                <w:u w:val="single"/>
              </w:rPr>
              <w:t>感染疾</w:t>
            </w:r>
            <w:r>
              <w:rPr>
                <w:rFonts w:hint="eastAsia" w:asciiTheme="minorEastAsia" w:hAnsiTheme="minorEastAsia"/>
                <w:bCs/>
              </w:rPr>
              <w:t>病病房等含有害微生物、有害气溶胶等污染物质场所的排风，应处理达标后排放。</w:t>
            </w:r>
          </w:p>
        </w:tc>
      </w:tr>
      <w:tr w14:paraId="78670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8186F5E"/>
        </w:tc>
        <w:tc>
          <w:tcPr>
            <w:tcW w:w="4261" w:type="dxa"/>
          </w:tcPr>
          <w:p w14:paraId="3C753B0C">
            <w:r>
              <w:rPr>
                <w:rFonts w:hint="eastAsia" w:asciiTheme="minorEastAsia" w:hAnsiTheme="minorEastAsia"/>
                <w:bCs/>
                <w:u w:val="single"/>
              </w:rPr>
              <w:t>7.1.14A 当综合医院设有“平疫结合”功能区域时，疫情期间存在病原微生物污染风险的医疗功能用房应相对周围环境维持负压，排风应处理达标后排放。</w:t>
            </w:r>
          </w:p>
        </w:tc>
      </w:tr>
      <w:tr w14:paraId="018D7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2F6161C"/>
        </w:tc>
        <w:tc>
          <w:tcPr>
            <w:tcW w:w="4261" w:type="dxa"/>
          </w:tcPr>
          <w:p w14:paraId="55BAFD1F">
            <w:r>
              <w:rPr>
                <w:rFonts w:hint="eastAsia" w:asciiTheme="minorEastAsia" w:hAnsiTheme="minorEastAsia"/>
                <w:bCs/>
                <w:u w:val="single"/>
              </w:rPr>
              <w:t>7.1.17</w:t>
            </w:r>
            <w:r>
              <w:rPr>
                <w:rFonts w:asciiTheme="minorEastAsia" w:hAnsiTheme="minorEastAsia"/>
                <w:bCs/>
                <w:u w:val="single"/>
              </w:rPr>
              <w:t xml:space="preserve"> </w:t>
            </w:r>
            <w:r>
              <w:rPr>
                <w:rFonts w:hint="eastAsia" w:asciiTheme="minorEastAsia" w:hAnsiTheme="minorEastAsia"/>
                <w:bCs/>
                <w:u w:val="single"/>
              </w:rPr>
              <w:t>感染疾病科宜优先采用自然通风，当设置机械通风时，通风系统应按清洁区、半污染区、污染区分别独立设置。空气压力应当由清洁区到半污染区、污染区依次降低，使空气从清洁区向半污染区、污染区单向流动，确保清洁区为正压，污染区为负压。</w:t>
            </w:r>
          </w:p>
        </w:tc>
      </w:tr>
      <w:tr w14:paraId="74DE0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C017B09"/>
        </w:tc>
        <w:tc>
          <w:tcPr>
            <w:tcW w:w="4261" w:type="dxa"/>
          </w:tcPr>
          <w:p w14:paraId="4FD9E2C9">
            <w:r>
              <w:rPr>
                <w:rFonts w:hint="eastAsia" w:asciiTheme="minorEastAsia" w:hAnsiTheme="minorEastAsia"/>
                <w:bCs/>
                <w:u w:val="single"/>
              </w:rPr>
              <w:t>7.1.18 发热门诊的空调系统应独立设置，当采用全空气空调系统时，应能实现全新风运行；空调系统不应采用全热回收和绝热加湿处理。空调冷凝水应当分区收集，随医疗污废水处理。</w:t>
            </w:r>
          </w:p>
        </w:tc>
      </w:tr>
      <w:tr w14:paraId="19C1C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4ECB610"/>
        </w:tc>
        <w:tc>
          <w:tcPr>
            <w:tcW w:w="4261" w:type="dxa"/>
          </w:tcPr>
          <w:p w14:paraId="08114647">
            <w:r>
              <w:rPr>
                <w:rFonts w:hint="eastAsia" w:asciiTheme="minorEastAsia" w:hAnsiTheme="minorEastAsia"/>
                <w:bCs/>
                <w:u w:val="single"/>
              </w:rPr>
              <w:t>7.1.19 仪器设备相对集中、设备散热量较大的房间，应根据仪器设备运行功率及散热情况合理配置通风空调设备，宜单独设置通风空调系统，并考虑全年供冷的可能性。</w:t>
            </w:r>
          </w:p>
        </w:tc>
      </w:tr>
      <w:tr w14:paraId="4F897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A63521C"/>
        </w:tc>
        <w:tc>
          <w:tcPr>
            <w:tcW w:w="4261" w:type="dxa"/>
          </w:tcPr>
          <w:p w14:paraId="0F51C89A">
            <w:r>
              <w:rPr>
                <w:rFonts w:hint="eastAsia" w:asciiTheme="minorEastAsia" w:hAnsiTheme="minorEastAsia"/>
                <w:bCs/>
                <w:u w:val="single"/>
              </w:rPr>
              <w:t>7.1.20</w:t>
            </w:r>
            <w:r>
              <w:rPr>
                <w:rFonts w:asciiTheme="minorEastAsia" w:hAnsiTheme="minorEastAsia"/>
                <w:bCs/>
                <w:u w:val="single"/>
              </w:rPr>
              <w:t xml:space="preserve"> </w:t>
            </w:r>
            <w:r>
              <w:rPr>
                <w:rFonts w:hint="eastAsia" w:asciiTheme="minorEastAsia" w:hAnsiTheme="minorEastAsia"/>
                <w:bCs/>
                <w:u w:val="single"/>
              </w:rPr>
              <w:t>医用气体压缩机房、负压吸引机房等应设机械通风,负压吸引机房应对周围环境保持负压，排风宜进行无害化处理。</w:t>
            </w:r>
          </w:p>
        </w:tc>
      </w:tr>
      <w:tr w14:paraId="76A8A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816C1CC">
            <w:pPr>
              <w:jc w:val="center"/>
              <w:rPr>
                <w:rFonts w:asciiTheme="minorEastAsia" w:hAnsiTheme="minorEastAsia"/>
              </w:rPr>
            </w:pPr>
            <w:bookmarkStart w:id="37" w:name="_Toc85880759"/>
            <w:r>
              <w:rPr>
                <w:rFonts w:hint="eastAsia" w:asciiTheme="minorEastAsia" w:hAnsiTheme="minorEastAsia"/>
              </w:rPr>
              <w:t>7.2 洁净用房的通用要求</w:t>
            </w:r>
            <w:bookmarkEnd w:id="37"/>
          </w:p>
        </w:tc>
        <w:tc>
          <w:tcPr>
            <w:tcW w:w="4261" w:type="dxa"/>
          </w:tcPr>
          <w:p w14:paraId="4C15AD5D">
            <w:pPr>
              <w:jc w:val="center"/>
              <w:rPr>
                <w:rFonts w:asciiTheme="minorEastAsia" w:hAnsiTheme="minorEastAsia"/>
              </w:rPr>
            </w:pPr>
            <w:r>
              <w:rPr>
                <w:rFonts w:hint="eastAsia" w:asciiTheme="minorEastAsia" w:hAnsiTheme="minorEastAsia"/>
              </w:rPr>
              <w:t>7.2 洁净用房的通用要求</w:t>
            </w:r>
          </w:p>
        </w:tc>
      </w:tr>
      <w:tr w14:paraId="364FA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ED28188">
            <w:pPr>
              <w:rPr>
                <w:rFonts w:ascii="宋体" w:hAnsi="宋体" w:eastAsia="宋体" w:cs="微软雅黑"/>
                <w:kern w:val="0"/>
              </w:rPr>
            </w:pPr>
            <w:r>
              <w:rPr>
                <w:rFonts w:hint="eastAsia" w:ascii="宋体" w:hAnsi="宋体" w:eastAsia="宋体"/>
                <w:bCs/>
              </w:rPr>
              <w:t>7.2.2 洁净用房</w:t>
            </w:r>
            <w:r>
              <w:rPr>
                <w:rFonts w:hint="eastAsia" w:ascii="宋体" w:hAnsi="宋体" w:eastAsia="宋体"/>
                <w:bCs/>
                <w:bdr w:val="single" w:color="auto" w:sz="4" w:space="0"/>
              </w:rPr>
              <w:t>（不含洁净手术室）在</w:t>
            </w:r>
            <w:r>
              <w:rPr>
                <w:rFonts w:hint="eastAsia" w:ascii="宋体" w:hAnsi="宋体" w:eastAsia="宋体"/>
                <w:bCs/>
              </w:rPr>
              <w:t>空态或静态条件下</w:t>
            </w:r>
            <w:r>
              <w:rPr>
                <w:rFonts w:hint="eastAsia" w:ascii="宋体" w:hAnsi="宋体" w:eastAsia="宋体"/>
                <w:bCs/>
                <w:bdr w:val="single" w:color="auto" w:sz="4" w:space="0"/>
              </w:rPr>
              <w:t>，</w:t>
            </w:r>
            <w:r>
              <w:rPr>
                <w:rFonts w:hint="eastAsia" w:ascii="宋体" w:hAnsi="宋体" w:eastAsia="宋体"/>
                <w:bCs/>
              </w:rPr>
              <w:t>细菌浓度（沉降菌法浓度或浮游菌法浓度</w:t>
            </w:r>
            <w:r>
              <w:rPr>
                <w:rFonts w:ascii="宋体" w:hAnsi="宋体" w:eastAsia="宋体"/>
                <w:bCs/>
              </w:rPr>
              <w:t>）</w:t>
            </w:r>
            <w:r>
              <w:rPr>
                <w:rFonts w:hint="eastAsia" w:ascii="宋体" w:hAnsi="宋体" w:eastAsia="宋体"/>
                <w:bCs/>
                <w:bdr w:val="single" w:color="auto" w:sz="4" w:space="0"/>
              </w:rPr>
              <w:t>和空气含尘浓度应按表7.2.2</w:t>
            </w:r>
            <w:r>
              <w:rPr>
                <w:rFonts w:hint="eastAsia" w:ascii="宋体" w:hAnsi="宋体" w:eastAsia="宋体"/>
                <w:bCs/>
              </w:rPr>
              <w:t>分级。换气次数不应超过表7.2.2规定上限的1.2倍。</w:t>
            </w:r>
          </w:p>
          <w:p w14:paraId="2CC002F8">
            <w:pPr>
              <w:pageBreakBefore/>
              <w:jc w:val="center"/>
              <w:rPr>
                <w:rFonts w:ascii="宋体" w:hAnsi="宋体" w:eastAsia="宋体"/>
                <w:b/>
                <w:bCs/>
                <w:sz w:val="18"/>
                <w:szCs w:val="22"/>
              </w:rPr>
            </w:pPr>
            <w:r>
              <w:rPr>
                <w:rFonts w:hint="eastAsia" w:ascii="宋体" w:hAnsi="宋体" w:eastAsia="宋体"/>
                <w:b/>
                <w:bCs/>
                <w:sz w:val="18"/>
                <w:szCs w:val="22"/>
              </w:rPr>
              <w:t>表7.2.2 洁净用房的分级标准（空态或静态）</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3"/>
              <w:gridCol w:w="1209"/>
              <w:gridCol w:w="946"/>
              <w:gridCol w:w="674"/>
              <w:gridCol w:w="913"/>
            </w:tblGrid>
            <w:tr w14:paraId="7FE2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5D3E9F49">
                  <w:pPr>
                    <w:spacing w:line="240" w:lineRule="auto"/>
                    <w:jc w:val="center"/>
                    <w:rPr>
                      <w:rFonts w:ascii="宋体" w:hAnsi="宋体" w:eastAsia="宋体"/>
                      <w:bCs/>
                      <w:sz w:val="18"/>
                      <w:szCs w:val="22"/>
                    </w:rPr>
                  </w:pPr>
                  <w:r>
                    <w:rPr>
                      <w:rFonts w:hint="eastAsia" w:ascii="宋体" w:hAnsi="宋体" w:eastAsia="宋体"/>
                      <w:bCs/>
                      <w:sz w:val="18"/>
                      <w:szCs w:val="22"/>
                    </w:rPr>
                    <w:t>用房</w:t>
                  </w:r>
                </w:p>
                <w:p w14:paraId="4671A064">
                  <w:pPr>
                    <w:spacing w:line="240" w:lineRule="auto"/>
                    <w:jc w:val="center"/>
                    <w:rPr>
                      <w:rFonts w:ascii="宋体" w:hAnsi="宋体" w:eastAsia="宋体"/>
                      <w:bCs/>
                      <w:sz w:val="18"/>
                      <w:szCs w:val="22"/>
                    </w:rPr>
                  </w:pPr>
                  <w:r>
                    <w:rPr>
                      <w:rFonts w:hint="eastAsia" w:ascii="宋体" w:hAnsi="宋体" w:eastAsia="宋体"/>
                      <w:bCs/>
                      <w:sz w:val="18"/>
                      <w:szCs w:val="22"/>
                    </w:rPr>
                    <w:t>等级</w:t>
                  </w:r>
                </w:p>
              </w:tc>
              <w:tc>
                <w:tcPr>
                  <w:tcW w:w="1209" w:type="dxa"/>
                  <w:vAlign w:val="center"/>
                </w:tcPr>
                <w:p w14:paraId="1022F340">
                  <w:pPr>
                    <w:spacing w:line="240" w:lineRule="auto"/>
                    <w:jc w:val="center"/>
                    <w:rPr>
                      <w:rFonts w:ascii="宋体" w:hAnsi="宋体" w:eastAsia="宋体"/>
                      <w:bCs/>
                      <w:sz w:val="18"/>
                      <w:szCs w:val="22"/>
                    </w:rPr>
                  </w:pPr>
                  <w:r>
                    <w:rPr>
                      <w:rFonts w:hint="eastAsia" w:ascii="宋体" w:hAnsi="宋体" w:eastAsia="宋体"/>
                      <w:bCs/>
                      <w:sz w:val="18"/>
                      <w:szCs w:val="22"/>
                    </w:rPr>
                    <w:t>沉降法（浮游法）细菌最大平均浓度</w:t>
                  </w:r>
                </w:p>
                <w:p w14:paraId="27DA8657">
                  <w:pPr>
                    <w:spacing w:line="240" w:lineRule="auto"/>
                    <w:jc w:val="center"/>
                    <w:rPr>
                      <w:rFonts w:ascii="宋体" w:hAnsi="宋体" w:eastAsia="宋体"/>
                      <w:bCs/>
                      <w:sz w:val="18"/>
                      <w:szCs w:val="22"/>
                    </w:rPr>
                  </w:pPr>
                  <w:r>
                    <w:rPr>
                      <w:rFonts w:hint="eastAsia" w:ascii="宋体" w:hAnsi="宋体" w:eastAsia="宋体"/>
                      <w:bCs/>
                      <w:sz w:val="18"/>
                      <w:szCs w:val="22"/>
                    </w:rPr>
                    <w:t>个/30min</w:t>
                  </w:r>
                  <w:r>
                    <w:rPr>
                      <w:rFonts w:ascii="宋体" w:hAnsi="宋体" w:eastAsia="宋体"/>
                      <w:sz w:val="18"/>
                      <w:szCs w:val="22"/>
                    </w:rPr>
                    <w:t>·</w:t>
                  </w:r>
                  <w:r>
                    <w:rPr>
                      <w:rFonts w:hint="eastAsia" w:ascii="宋体" w:hAnsi="宋体" w:eastAsia="宋体"/>
                      <w:bCs/>
                      <w:sz w:val="18"/>
                      <w:szCs w:val="22"/>
                    </w:rPr>
                    <w:t>φ90皿（个/m</w:t>
                  </w:r>
                  <w:r>
                    <w:rPr>
                      <w:rFonts w:hint="eastAsia" w:ascii="宋体" w:hAnsi="宋体" w:eastAsia="宋体"/>
                      <w:bCs/>
                      <w:sz w:val="18"/>
                      <w:szCs w:val="22"/>
                      <w:vertAlign w:val="superscript"/>
                    </w:rPr>
                    <w:t>3</w:t>
                  </w:r>
                  <w:r>
                    <w:rPr>
                      <w:rFonts w:hint="eastAsia" w:ascii="宋体" w:hAnsi="宋体" w:eastAsia="宋体"/>
                      <w:bCs/>
                      <w:sz w:val="18"/>
                      <w:szCs w:val="22"/>
                    </w:rPr>
                    <w:t>）</w:t>
                  </w:r>
                </w:p>
              </w:tc>
              <w:tc>
                <w:tcPr>
                  <w:tcW w:w="946" w:type="dxa"/>
                  <w:vAlign w:val="center"/>
                </w:tcPr>
                <w:p w14:paraId="056071E7">
                  <w:pPr>
                    <w:spacing w:line="240" w:lineRule="auto"/>
                    <w:jc w:val="center"/>
                    <w:rPr>
                      <w:rFonts w:ascii="宋体" w:hAnsi="宋体" w:eastAsia="宋体"/>
                      <w:bCs/>
                      <w:sz w:val="18"/>
                      <w:szCs w:val="22"/>
                    </w:rPr>
                  </w:pPr>
                  <w:r>
                    <w:rPr>
                      <w:rFonts w:hint="eastAsia" w:ascii="宋体" w:hAnsi="宋体" w:eastAsia="宋体"/>
                      <w:bCs/>
                      <w:sz w:val="18"/>
                      <w:szCs w:val="22"/>
                    </w:rPr>
                    <w:t>换气次数</w:t>
                  </w:r>
                </w:p>
                <w:p w14:paraId="5FFE6A88">
                  <w:pPr>
                    <w:spacing w:line="240" w:lineRule="auto"/>
                    <w:jc w:val="center"/>
                    <w:rPr>
                      <w:rFonts w:ascii="宋体" w:hAnsi="宋体" w:eastAsia="宋体"/>
                      <w:bCs/>
                      <w:sz w:val="18"/>
                      <w:szCs w:val="22"/>
                    </w:rPr>
                  </w:pPr>
                  <w:r>
                    <w:rPr>
                      <w:rFonts w:hint="eastAsia" w:ascii="宋体" w:hAnsi="宋体" w:eastAsia="宋体"/>
                      <w:bCs/>
                      <w:sz w:val="18"/>
                      <w:szCs w:val="22"/>
                    </w:rPr>
                    <w:t>（次/h）</w:t>
                  </w:r>
                </w:p>
              </w:tc>
              <w:tc>
                <w:tcPr>
                  <w:tcW w:w="674" w:type="dxa"/>
                  <w:vAlign w:val="center"/>
                </w:tcPr>
                <w:p w14:paraId="3E49C56A">
                  <w:pPr>
                    <w:spacing w:line="240" w:lineRule="auto"/>
                    <w:jc w:val="center"/>
                    <w:rPr>
                      <w:rFonts w:ascii="宋体" w:hAnsi="宋体" w:eastAsia="宋体"/>
                      <w:bCs/>
                      <w:sz w:val="18"/>
                      <w:szCs w:val="22"/>
                    </w:rPr>
                  </w:pPr>
                  <w:r>
                    <w:rPr>
                      <w:rFonts w:hint="eastAsia" w:ascii="宋体" w:hAnsi="宋体" w:eastAsia="宋体"/>
                      <w:bCs/>
                      <w:sz w:val="18"/>
                      <w:szCs w:val="22"/>
                    </w:rPr>
                    <w:t>表面最大染菌</w:t>
                  </w:r>
                </w:p>
                <w:p w14:paraId="2F273D77">
                  <w:pPr>
                    <w:spacing w:line="240" w:lineRule="auto"/>
                    <w:jc w:val="center"/>
                    <w:rPr>
                      <w:rFonts w:ascii="宋体" w:hAnsi="宋体" w:eastAsia="宋体"/>
                      <w:bCs/>
                      <w:sz w:val="18"/>
                      <w:szCs w:val="22"/>
                    </w:rPr>
                  </w:pPr>
                  <w:r>
                    <w:rPr>
                      <w:rFonts w:hint="eastAsia" w:ascii="宋体" w:hAnsi="宋体" w:eastAsia="宋体"/>
                      <w:bCs/>
                      <w:sz w:val="18"/>
                      <w:szCs w:val="22"/>
                    </w:rPr>
                    <w:t>密度</w:t>
                  </w:r>
                  <w:r>
                    <w:rPr>
                      <w:rFonts w:ascii="宋体" w:hAnsi="宋体" w:eastAsia="宋体"/>
                      <w:bCs/>
                      <w:sz w:val="18"/>
                      <w:szCs w:val="22"/>
                    </w:rPr>
                    <w:br w:type="textWrapping"/>
                  </w:r>
                  <w:r>
                    <w:rPr>
                      <w:rFonts w:hint="eastAsia" w:ascii="宋体" w:hAnsi="宋体" w:eastAsia="宋体"/>
                      <w:bCs/>
                      <w:sz w:val="18"/>
                      <w:szCs w:val="22"/>
                    </w:rPr>
                    <w:t>（个/cm²）</w:t>
                  </w:r>
                </w:p>
              </w:tc>
              <w:tc>
                <w:tcPr>
                  <w:tcW w:w="913" w:type="dxa"/>
                  <w:vAlign w:val="center"/>
                </w:tcPr>
                <w:p w14:paraId="0F6DBC6D">
                  <w:pPr>
                    <w:spacing w:line="240" w:lineRule="auto"/>
                    <w:jc w:val="center"/>
                    <w:rPr>
                      <w:rFonts w:ascii="宋体" w:hAnsi="宋体" w:eastAsia="宋体"/>
                      <w:bCs/>
                      <w:sz w:val="18"/>
                      <w:szCs w:val="22"/>
                    </w:rPr>
                  </w:pPr>
                  <w:r>
                    <w:rPr>
                      <w:rFonts w:hint="eastAsia" w:ascii="宋体" w:hAnsi="宋体" w:eastAsia="宋体"/>
                      <w:bCs/>
                      <w:sz w:val="18"/>
                      <w:szCs w:val="22"/>
                      <w:bdr w:val="single" w:color="auto" w:sz="4" w:space="0"/>
                    </w:rPr>
                    <w:t>空气</w:t>
                  </w:r>
                  <w:r>
                    <w:rPr>
                      <w:rFonts w:ascii="宋体" w:hAnsi="宋体" w:eastAsia="宋体"/>
                      <w:bCs/>
                      <w:sz w:val="18"/>
                      <w:szCs w:val="22"/>
                      <w:bdr w:val="single" w:color="auto" w:sz="4" w:space="0"/>
                    </w:rPr>
                    <w:br w:type="textWrapping"/>
                  </w:r>
                  <w:r>
                    <w:rPr>
                      <w:rFonts w:hint="eastAsia" w:ascii="宋体" w:hAnsi="宋体" w:eastAsia="宋体"/>
                      <w:bCs/>
                      <w:sz w:val="18"/>
                      <w:szCs w:val="22"/>
                      <w:bdr w:val="single" w:color="auto" w:sz="4" w:space="0"/>
                    </w:rPr>
                    <w:t>洁净度</w:t>
                  </w:r>
                </w:p>
              </w:tc>
            </w:tr>
            <w:tr w14:paraId="3D0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2787DB5B">
                  <w:pPr>
                    <w:spacing w:line="240" w:lineRule="auto"/>
                    <w:jc w:val="center"/>
                    <w:rPr>
                      <w:rFonts w:ascii="宋体" w:hAnsi="宋体" w:eastAsia="宋体"/>
                      <w:bCs/>
                      <w:sz w:val="18"/>
                      <w:szCs w:val="22"/>
                    </w:rPr>
                  </w:pPr>
                  <w:r>
                    <w:rPr>
                      <w:rFonts w:ascii="宋体" w:hAnsi="宋体" w:eastAsia="宋体"/>
                      <w:bCs/>
                      <w:sz w:val="18"/>
                      <w:szCs w:val="22"/>
                    </w:rPr>
                    <w:t>Ⅰ</w:t>
                  </w:r>
                </w:p>
              </w:tc>
              <w:tc>
                <w:tcPr>
                  <w:tcW w:w="1209" w:type="dxa"/>
                  <w:vAlign w:val="center"/>
                </w:tcPr>
                <w:p w14:paraId="21F6E922">
                  <w:pPr>
                    <w:spacing w:line="240" w:lineRule="auto"/>
                    <w:jc w:val="center"/>
                    <w:rPr>
                      <w:rFonts w:ascii="宋体" w:hAnsi="宋体" w:eastAsia="宋体"/>
                      <w:bCs/>
                      <w:sz w:val="18"/>
                      <w:szCs w:val="22"/>
                    </w:rPr>
                  </w:pPr>
                  <w:r>
                    <w:rPr>
                      <w:rFonts w:hint="eastAsia" w:ascii="宋体" w:hAnsi="宋体" w:eastAsia="宋体"/>
                      <w:bCs/>
                      <w:sz w:val="18"/>
                      <w:szCs w:val="22"/>
                    </w:rPr>
                    <w:t>局部为0.2(5)</w:t>
                  </w:r>
                  <w:r>
                    <w:rPr>
                      <w:rFonts w:hint="eastAsia" w:ascii="宋体" w:hAnsi="宋体" w:eastAsia="宋体"/>
                      <w:bCs/>
                      <w:sz w:val="18"/>
                      <w:szCs w:val="22"/>
                      <w:vertAlign w:val="superscript"/>
                    </w:rPr>
                    <w:t>注</w:t>
                  </w:r>
                  <w:r>
                    <w:rPr>
                      <w:rFonts w:hint="eastAsia" w:ascii="宋体" w:hAnsi="宋体" w:eastAsia="宋体"/>
                      <w:bCs/>
                      <w:sz w:val="18"/>
                      <w:szCs w:val="22"/>
                    </w:rPr>
                    <w:t>，其他区域0.4(10)</w:t>
                  </w:r>
                </w:p>
              </w:tc>
              <w:tc>
                <w:tcPr>
                  <w:tcW w:w="946" w:type="dxa"/>
                  <w:vAlign w:val="center"/>
                </w:tcPr>
                <w:p w14:paraId="185A843D">
                  <w:pPr>
                    <w:spacing w:line="240" w:lineRule="auto"/>
                    <w:jc w:val="center"/>
                    <w:rPr>
                      <w:rFonts w:ascii="宋体" w:hAnsi="宋体" w:eastAsia="宋体"/>
                      <w:bCs/>
                      <w:sz w:val="18"/>
                      <w:szCs w:val="22"/>
                    </w:rPr>
                  </w:pPr>
                  <w:r>
                    <w:rPr>
                      <w:rFonts w:hint="eastAsia" w:ascii="宋体" w:hAnsi="宋体" w:eastAsia="宋体"/>
                      <w:bCs/>
                      <w:sz w:val="18"/>
                      <w:szCs w:val="22"/>
                    </w:rPr>
                    <w:t>截面风速根据房间功能确定，在具体条文中给出</w:t>
                  </w:r>
                </w:p>
              </w:tc>
              <w:tc>
                <w:tcPr>
                  <w:tcW w:w="674" w:type="dxa"/>
                  <w:vAlign w:val="center"/>
                </w:tcPr>
                <w:p w14:paraId="638FC531">
                  <w:pPr>
                    <w:spacing w:line="240" w:lineRule="auto"/>
                    <w:jc w:val="center"/>
                    <w:rPr>
                      <w:rFonts w:ascii="宋体" w:hAnsi="宋体" w:eastAsia="宋体"/>
                      <w:bCs/>
                      <w:sz w:val="18"/>
                      <w:szCs w:val="22"/>
                    </w:rPr>
                  </w:pPr>
                  <w:r>
                    <w:rPr>
                      <w:rFonts w:ascii="宋体" w:hAnsi="宋体" w:eastAsia="宋体"/>
                      <w:bCs/>
                      <w:sz w:val="18"/>
                      <w:szCs w:val="22"/>
                    </w:rPr>
                    <w:t>5</w:t>
                  </w:r>
                </w:p>
              </w:tc>
              <w:tc>
                <w:tcPr>
                  <w:tcW w:w="913" w:type="dxa"/>
                  <w:vAlign w:val="center"/>
                </w:tcPr>
                <w:p w14:paraId="1D8CC903">
                  <w:pPr>
                    <w:spacing w:line="240" w:lineRule="auto"/>
                    <w:jc w:val="center"/>
                    <w:rPr>
                      <w:rFonts w:ascii="宋体" w:hAnsi="宋体" w:eastAsia="宋体"/>
                      <w:bCs/>
                      <w:sz w:val="18"/>
                      <w:szCs w:val="22"/>
                      <w:bdr w:val="single" w:color="auto" w:sz="4" w:space="0"/>
                    </w:rPr>
                  </w:pPr>
                  <w:r>
                    <w:rPr>
                      <w:rFonts w:hint="eastAsia" w:ascii="宋体" w:hAnsi="宋体" w:eastAsia="宋体"/>
                      <w:bCs/>
                      <w:sz w:val="18"/>
                      <w:szCs w:val="22"/>
                      <w:bdr w:val="single" w:color="auto" w:sz="4" w:space="0"/>
                    </w:rPr>
                    <w:t>局部5级，其他区域6级</w:t>
                  </w:r>
                </w:p>
              </w:tc>
            </w:tr>
            <w:tr w14:paraId="3C0D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7EC99C58">
                  <w:pPr>
                    <w:spacing w:line="240" w:lineRule="auto"/>
                    <w:jc w:val="center"/>
                    <w:rPr>
                      <w:rFonts w:ascii="宋体" w:hAnsi="宋体" w:eastAsia="宋体"/>
                      <w:bCs/>
                      <w:sz w:val="18"/>
                      <w:szCs w:val="22"/>
                    </w:rPr>
                  </w:pPr>
                  <w:r>
                    <w:rPr>
                      <w:rFonts w:ascii="宋体" w:hAnsi="宋体" w:eastAsia="宋体"/>
                      <w:bCs/>
                      <w:sz w:val="18"/>
                      <w:szCs w:val="22"/>
                    </w:rPr>
                    <w:t>Ⅱ</w:t>
                  </w:r>
                </w:p>
              </w:tc>
              <w:tc>
                <w:tcPr>
                  <w:tcW w:w="1209" w:type="dxa"/>
                  <w:vAlign w:val="center"/>
                </w:tcPr>
                <w:p w14:paraId="177FCA0B">
                  <w:pPr>
                    <w:spacing w:line="240" w:lineRule="auto"/>
                    <w:jc w:val="center"/>
                    <w:rPr>
                      <w:rFonts w:ascii="宋体" w:hAnsi="宋体" w:eastAsia="宋体"/>
                      <w:bCs/>
                      <w:sz w:val="18"/>
                      <w:szCs w:val="22"/>
                    </w:rPr>
                  </w:pPr>
                  <w:r>
                    <w:rPr>
                      <w:rFonts w:hint="eastAsia" w:ascii="宋体" w:hAnsi="宋体" w:eastAsia="宋体"/>
                      <w:bCs/>
                      <w:sz w:val="18"/>
                      <w:szCs w:val="22"/>
                    </w:rPr>
                    <w:t>1.5(50)</w:t>
                  </w:r>
                </w:p>
              </w:tc>
              <w:tc>
                <w:tcPr>
                  <w:tcW w:w="946" w:type="dxa"/>
                  <w:vAlign w:val="center"/>
                </w:tcPr>
                <w:p w14:paraId="1C76B508">
                  <w:pPr>
                    <w:spacing w:line="240" w:lineRule="auto"/>
                    <w:jc w:val="center"/>
                    <w:rPr>
                      <w:rFonts w:ascii="宋体" w:hAnsi="宋体" w:eastAsia="宋体"/>
                      <w:bCs/>
                      <w:sz w:val="18"/>
                      <w:szCs w:val="22"/>
                    </w:rPr>
                  </w:pPr>
                  <w:r>
                    <w:rPr>
                      <w:rFonts w:ascii="宋体" w:hAnsi="宋体" w:eastAsia="宋体"/>
                      <w:bCs/>
                      <w:sz w:val="18"/>
                      <w:szCs w:val="22"/>
                    </w:rPr>
                    <w:t>17～20</w:t>
                  </w:r>
                </w:p>
              </w:tc>
              <w:tc>
                <w:tcPr>
                  <w:tcW w:w="674" w:type="dxa"/>
                  <w:vAlign w:val="center"/>
                </w:tcPr>
                <w:p w14:paraId="110BADC1">
                  <w:pPr>
                    <w:spacing w:line="240" w:lineRule="auto"/>
                    <w:jc w:val="center"/>
                    <w:rPr>
                      <w:rFonts w:ascii="宋体" w:hAnsi="宋体" w:eastAsia="宋体"/>
                      <w:bCs/>
                      <w:sz w:val="18"/>
                      <w:szCs w:val="22"/>
                    </w:rPr>
                  </w:pPr>
                  <w:r>
                    <w:rPr>
                      <w:rFonts w:ascii="宋体" w:hAnsi="宋体" w:eastAsia="宋体"/>
                      <w:bCs/>
                      <w:sz w:val="18"/>
                      <w:szCs w:val="22"/>
                    </w:rPr>
                    <w:t>5</w:t>
                  </w:r>
                </w:p>
              </w:tc>
              <w:tc>
                <w:tcPr>
                  <w:tcW w:w="913" w:type="dxa"/>
                  <w:vAlign w:val="center"/>
                </w:tcPr>
                <w:p w14:paraId="08158149">
                  <w:pPr>
                    <w:spacing w:line="240" w:lineRule="auto"/>
                    <w:jc w:val="center"/>
                    <w:rPr>
                      <w:rFonts w:ascii="宋体" w:hAnsi="宋体" w:eastAsia="宋体"/>
                      <w:bCs/>
                      <w:sz w:val="18"/>
                      <w:szCs w:val="22"/>
                      <w:bdr w:val="single" w:color="auto" w:sz="4" w:space="0"/>
                    </w:rPr>
                  </w:pPr>
                  <w:r>
                    <w:rPr>
                      <w:rFonts w:hint="eastAsia" w:ascii="宋体" w:hAnsi="宋体" w:eastAsia="宋体"/>
                      <w:bCs/>
                      <w:sz w:val="18"/>
                      <w:szCs w:val="22"/>
                      <w:bdr w:val="single" w:color="auto" w:sz="4" w:space="0"/>
                    </w:rPr>
                    <w:t>7级，采用局部集中送风时，局部洁净度级别高一级。</w:t>
                  </w:r>
                </w:p>
              </w:tc>
            </w:tr>
            <w:tr w14:paraId="2184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6C48B1BF">
                  <w:pPr>
                    <w:spacing w:line="240" w:lineRule="auto"/>
                    <w:jc w:val="center"/>
                    <w:rPr>
                      <w:rFonts w:ascii="宋体" w:hAnsi="宋体" w:eastAsia="宋体"/>
                      <w:bCs/>
                      <w:sz w:val="18"/>
                      <w:szCs w:val="22"/>
                    </w:rPr>
                  </w:pPr>
                  <w:r>
                    <w:rPr>
                      <w:rFonts w:hint="eastAsia" w:ascii="宋体" w:hAnsi="宋体" w:eastAsia="宋体"/>
                      <w:bCs/>
                      <w:sz w:val="18"/>
                      <w:szCs w:val="22"/>
                    </w:rPr>
                    <w:t>Ⅲ</w:t>
                  </w:r>
                </w:p>
              </w:tc>
              <w:tc>
                <w:tcPr>
                  <w:tcW w:w="1209" w:type="dxa"/>
                  <w:vAlign w:val="center"/>
                </w:tcPr>
                <w:p w14:paraId="3BD7E612">
                  <w:pPr>
                    <w:spacing w:line="240" w:lineRule="auto"/>
                    <w:jc w:val="center"/>
                    <w:rPr>
                      <w:rFonts w:ascii="宋体" w:hAnsi="宋体" w:eastAsia="宋体"/>
                      <w:bCs/>
                      <w:sz w:val="18"/>
                      <w:szCs w:val="22"/>
                    </w:rPr>
                  </w:pPr>
                  <w:r>
                    <w:rPr>
                      <w:rFonts w:ascii="宋体" w:hAnsi="宋体" w:eastAsia="宋体"/>
                      <w:bCs/>
                      <w:sz w:val="18"/>
                      <w:szCs w:val="22"/>
                    </w:rPr>
                    <w:t>4(</w:t>
                  </w:r>
                  <w:r>
                    <w:rPr>
                      <w:rFonts w:hint="eastAsia" w:ascii="宋体" w:hAnsi="宋体" w:eastAsia="宋体"/>
                      <w:bCs/>
                      <w:sz w:val="18"/>
                      <w:szCs w:val="22"/>
                    </w:rPr>
                    <w:t>1</w:t>
                  </w:r>
                  <w:r>
                    <w:rPr>
                      <w:rFonts w:ascii="宋体" w:hAnsi="宋体" w:eastAsia="宋体"/>
                      <w:bCs/>
                      <w:sz w:val="18"/>
                      <w:szCs w:val="22"/>
                    </w:rPr>
                    <w:t>50)</w:t>
                  </w:r>
                </w:p>
              </w:tc>
              <w:tc>
                <w:tcPr>
                  <w:tcW w:w="946" w:type="dxa"/>
                  <w:vAlign w:val="center"/>
                </w:tcPr>
                <w:p w14:paraId="64A219C7">
                  <w:pPr>
                    <w:spacing w:line="240" w:lineRule="auto"/>
                    <w:jc w:val="center"/>
                    <w:rPr>
                      <w:rFonts w:ascii="宋体" w:hAnsi="宋体" w:eastAsia="宋体"/>
                      <w:bCs/>
                      <w:sz w:val="18"/>
                      <w:szCs w:val="22"/>
                    </w:rPr>
                  </w:pPr>
                  <w:r>
                    <w:rPr>
                      <w:rFonts w:hint="eastAsia" w:ascii="宋体" w:hAnsi="宋体" w:eastAsia="宋体"/>
                      <w:bCs/>
                      <w:sz w:val="18"/>
                      <w:szCs w:val="22"/>
                    </w:rPr>
                    <w:t>10</w:t>
                  </w:r>
                  <w:r>
                    <w:rPr>
                      <w:rFonts w:ascii="宋体" w:hAnsi="宋体" w:eastAsia="宋体"/>
                      <w:bCs/>
                      <w:sz w:val="18"/>
                      <w:szCs w:val="22"/>
                    </w:rPr>
                    <w:t>～</w:t>
                  </w:r>
                  <w:r>
                    <w:rPr>
                      <w:rFonts w:hint="eastAsia" w:ascii="宋体" w:hAnsi="宋体" w:eastAsia="宋体"/>
                      <w:bCs/>
                      <w:sz w:val="18"/>
                      <w:szCs w:val="22"/>
                    </w:rPr>
                    <w:t>13</w:t>
                  </w:r>
                </w:p>
              </w:tc>
              <w:tc>
                <w:tcPr>
                  <w:tcW w:w="674" w:type="dxa"/>
                  <w:vAlign w:val="center"/>
                </w:tcPr>
                <w:p w14:paraId="39C3CDF2">
                  <w:pPr>
                    <w:spacing w:line="240" w:lineRule="auto"/>
                    <w:jc w:val="center"/>
                    <w:rPr>
                      <w:rFonts w:ascii="宋体" w:hAnsi="宋体" w:eastAsia="宋体"/>
                      <w:bCs/>
                      <w:sz w:val="18"/>
                      <w:szCs w:val="22"/>
                    </w:rPr>
                  </w:pPr>
                  <w:r>
                    <w:rPr>
                      <w:rFonts w:ascii="宋体" w:hAnsi="宋体" w:eastAsia="宋体"/>
                      <w:bCs/>
                      <w:sz w:val="18"/>
                      <w:szCs w:val="22"/>
                    </w:rPr>
                    <w:t>5</w:t>
                  </w:r>
                </w:p>
              </w:tc>
              <w:tc>
                <w:tcPr>
                  <w:tcW w:w="913" w:type="dxa"/>
                  <w:vAlign w:val="center"/>
                </w:tcPr>
                <w:p w14:paraId="27C090E9">
                  <w:pPr>
                    <w:spacing w:line="240" w:lineRule="auto"/>
                    <w:jc w:val="center"/>
                    <w:rPr>
                      <w:rFonts w:ascii="宋体" w:hAnsi="宋体" w:eastAsia="宋体"/>
                      <w:bCs/>
                      <w:sz w:val="18"/>
                      <w:szCs w:val="22"/>
                      <w:bdr w:val="single" w:color="auto" w:sz="4" w:space="0"/>
                    </w:rPr>
                  </w:pPr>
                  <w:r>
                    <w:rPr>
                      <w:rFonts w:hint="eastAsia" w:ascii="宋体" w:hAnsi="宋体" w:eastAsia="宋体"/>
                      <w:bCs/>
                      <w:sz w:val="18"/>
                      <w:szCs w:val="22"/>
                      <w:bdr w:val="single" w:color="auto" w:sz="4" w:space="0"/>
                    </w:rPr>
                    <w:t>8级，采用局部集中送风时，局部洁净度级别高一级。</w:t>
                  </w:r>
                </w:p>
              </w:tc>
            </w:tr>
            <w:tr w14:paraId="75FB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60E223F0">
                  <w:pPr>
                    <w:spacing w:line="240" w:lineRule="auto"/>
                    <w:jc w:val="center"/>
                    <w:rPr>
                      <w:rFonts w:ascii="宋体" w:hAnsi="宋体" w:eastAsia="宋体"/>
                      <w:bCs/>
                      <w:sz w:val="18"/>
                      <w:szCs w:val="22"/>
                    </w:rPr>
                  </w:pPr>
                  <w:r>
                    <w:rPr>
                      <w:rFonts w:ascii="宋体" w:hAnsi="宋体" w:eastAsia="宋体"/>
                      <w:bCs/>
                      <w:sz w:val="18"/>
                      <w:szCs w:val="22"/>
                    </w:rPr>
                    <w:t>Ⅳ</w:t>
                  </w:r>
                </w:p>
              </w:tc>
              <w:tc>
                <w:tcPr>
                  <w:tcW w:w="1209" w:type="dxa"/>
                  <w:vAlign w:val="center"/>
                </w:tcPr>
                <w:p w14:paraId="5E89858D">
                  <w:pPr>
                    <w:spacing w:line="240" w:lineRule="auto"/>
                    <w:jc w:val="center"/>
                    <w:rPr>
                      <w:rFonts w:ascii="宋体" w:hAnsi="宋体" w:eastAsia="宋体"/>
                      <w:bCs/>
                      <w:sz w:val="18"/>
                      <w:szCs w:val="22"/>
                    </w:rPr>
                  </w:pPr>
                  <w:r>
                    <w:rPr>
                      <w:rFonts w:ascii="宋体" w:hAnsi="宋体" w:eastAsia="宋体"/>
                      <w:bCs/>
                      <w:sz w:val="18"/>
                      <w:szCs w:val="22"/>
                    </w:rPr>
                    <w:t>6</w:t>
                  </w:r>
                </w:p>
              </w:tc>
              <w:tc>
                <w:tcPr>
                  <w:tcW w:w="946" w:type="dxa"/>
                  <w:vAlign w:val="center"/>
                </w:tcPr>
                <w:p w14:paraId="5CD56A7B">
                  <w:pPr>
                    <w:spacing w:line="240" w:lineRule="auto"/>
                    <w:jc w:val="center"/>
                    <w:rPr>
                      <w:rFonts w:ascii="宋体" w:hAnsi="宋体" w:eastAsia="宋体"/>
                      <w:bCs/>
                      <w:sz w:val="18"/>
                      <w:szCs w:val="22"/>
                    </w:rPr>
                  </w:pPr>
                  <w:r>
                    <w:rPr>
                      <w:rFonts w:hint="eastAsia" w:ascii="宋体" w:hAnsi="宋体" w:eastAsia="宋体"/>
                      <w:bCs/>
                      <w:sz w:val="18"/>
                      <w:szCs w:val="22"/>
                    </w:rPr>
                    <w:t>8</w:t>
                  </w:r>
                  <w:r>
                    <w:rPr>
                      <w:rFonts w:ascii="宋体" w:hAnsi="宋体" w:eastAsia="宋体"/>
                      <w:bCs/>
                      <w:sz w:val="18"/>
                      <w:szCs w:val="22"/>
                    </w:rPr>
                    <w:t>～</w:t>
                  </w:r>
                  <w:r>
                    <w:rPr>
                      <w:rFonts w:hint="eastAsia" w:ascii="宋体" w:hAnsi="宋体" w:eastAsia="宋体"/>
                      <w:bCs/>
                      <w:sz w:val="18"/>
                      <w:szCs w:val="22"/>
                    </w:rPr>
                    <w:t>10</w:t>
                  </w:r>
                </w:p>
              </w:tc>
              <w:tc>
                <w:tcPr>
                  <w:tcW w:w="674" w:type="dxa"/>
                  <w:vAlign w:val="center"/>
                </w:tcPr>
                <w:p w14:paraId="0262DEFB">
                  <w:pPr>
                    <w:spacing w:line="240" w:lineRule="auto"/>
                    <w:jc w:val="center"/>
                    <w:rPr>
                      <w:rFonts w:ascii="宋体" w:hAnsi="宋体" w:eastAsia="宋体"/>
                      <w:bCs/>
                      <w:sz w:val="18"/>
                      <w:szCs w:val="22"/>
                    </w:rPr>
                  </w:pPr>
                  <w:r>
                    <w:rPr>
                      <w:rFonts w:ascii="宋体" w:hAnsi="宋体" w:eastAsia="宋体"/>
                      <w:bCs/>
                      <w:sz w:val="18"/>
                      <w:szCs w:val="22"/>
                    </w:rPr>
                    <w:t>5</w:t>
                  </w:r>
                </w:p>
              </w:tc>
              <w:tc>
                <w:tcPr>
                  <w:tcW w:w="913" w:type="dxa"/>
                  <w:vAlign w:val="center"/>
                </w:tcPr>
                <w:p w14:paraId="2611050C">
                  <w:pPr>
                    <w:spacing w:line="240" w:lineRule="auto"/>
                    <w:jc w:val="center"/>
                    <w:rPr>
                      <w:rFonts w:ascii="宋体" w:hAnsi="宋体" w:eastAsia="宋体"/>
                      <w:bCs/>
                      <w:sz w:val="18"/>
                      <w:szCs w:val="22"/>
                      <w:bdr w:val="single" w:color="auto" w:sz="4" w:space="0"/>
                    </w:rPr>
                  </w:pPr>
                  <w:r>
                    <w:rPr>
                      <w:rFonts w:hint="eastAsia" w:ascii="宋体" w:hAnsi="宋体" w:eastAsia="宋体"/>
                      <w:bCs/>
                      <w:sz w:val="18"/>
                      <w:szCs w:val="22"/>
                      <w:bdr w:val="single" w:color="auto" w:sz="4" w:space="0"/>
                    </w:rPr>
                    <w:t>8.5级</w:t>
                  </w:r>
                </w:p>
              </w:tc>
            </w:tr>
          </w:tbl>
          <w:p w14:paraId="49277E93">
            <w:pPr>
              <w:spacing w:line="240" w:lineRule="auto"/>
              <w:ind w:firstLine="360" w:firstLineChars="200"/>
              <w:jc w:val="left"/>
            </w:pPr>
            <w:r>
              <w:rPr>
                <w:rFonts w:hint="eastAsia" w:ascii="宋体" w:hAnsi="宋体" w:eastAsia="宋体" w:cs="宋体"/>
                <w:kern w:val="0"/>
                <w:sz w:val="18"/>
              </w:rPr>
              <w:t>注：</w:t>
            </w:r>
            <w:r>
              <w:rPr>
                <w:rFonts w:ascii="宋体" w:hAnsi="宋体" w:eastAsia="宋体" w:cs="宋体"/>
                <w:kern w:val="0"/>
                <w:sz w:val="18"/>
              </w:rPr>
              <w:t>局部集中送风时的标准。若全室为单向流时，局部标准应为全室标准。</w:t>
            </w:r>
          </w:p>
        </w:tc>
        <w:tc>
          <w:tcPr>
            <w:tcW w:w="4261" w:type="dxa"/>
          </w:tcPr>
          <w:p w14:paraId="0B2FB422">
            <w:pPr>
              <w:rPr>
                <w:rFonts w:ascii="宋体" w:hAnsi="宋体" w:eastAsia="宋体" w:cs="微软雅黑"/>
                <w:kern w:val="0"/>
              </w:rPr>
            </w:pPr>
            <w:r>
              <w:rPr>
                <w:rFonts w:hint="eastAsia" w:ascii="宋体" w:hAnsi="宋体" w:eastAsia="宋体"/>
                <w:bCs/>
              </w:rPr>
              <w:t>7.2.2 洁净用房</w:t>
            </w:r>
            <w:r>
              <w:rPr>
                <w:rFonts w:hint="eastAsia" w:ascii="宋体" w:hAnsi="宋体" w:eastAsia="宋体"/>
                <w:bCs/>
                <w:u w:val="single"/>
              </w:rPr>
              <w:t>应按表7.2.2</w:t>
            </w:r>
            <w:r>
              <w:rPr>
                <w:rFonts w:hint="eastAsia" w:ascii="宋体" w:hAnsi="宋体" w:eastAsia="宋体"/>
                <w:bCs/>
              </w:rPr>
              <w:t>空态或静态条件下细菌浓度（沉降菌法浓度或浮游菌法浓度</w:t>
            </w:r>
            <w:r>
              <w:rPr>
                <w:rFonts w:ascii="宋体" w:hAnsi="宋体" w:eastAsia="宋体"/>
                <w:bCs/>
              </w:rPr>
              <w:t>）</w:t>
            </w:r>
            <w:r>
              <w:rPr>
                <w:rFonts w:hint="eastAsia" w:ascii="宋体" w:hAnsi="宋体" w:eastAsia="宋体"/>
                <w:bCs/>
              </w:rPr>
              <w:t>分级。</w:t>
            </w:r>
            <w:r>
              <w:rPr>
                <w:rFonts w:hint="eastAsia" w:ascii="宋体" w:hAnsi="宋体" w:eastAsia="宋体"/>
                <w:bCs/>
                <w:u w:val="single"/>
              </w:rPr>
              <w:t>在满足热湿负荷的条件下，</w:t>
            </w:r>
            <w:r>
              <w:rPr>
                <w:rFonts w:hint="eastAsia" w:ascii="宋体" w:hAnsi="宋体" w:eastAsia="宋体"/>
                <w:bCs/>
              </w:rPr>
              <w:t>换气次数不应超过表7.2.2规定上限的1.2倍。</w:t>
            </w:r>
          </w:p>
          <w:p w14:paraId="401E30F4">
            <w:pPr>
              <w:pageBreakBefore/>
              <w:jc w:val="center"/>
              <w:rPr>
                <w:rFonts w:ascii="宋体" w:hAnsi="宋体" w:eastAsia="宋体"/>
                <w:b/>
                <w:bCs/>
                <w:sz w:val="18"/>
                <w:szCs w:val="22"/>
              </w:rPr>
            </w:pPr>
            <w:r>
              <w:rPr>
                <w:rFonts w:hint="eastAsia" w:ascii="宋体" w:hAnsi="宋体" w:eastAsia="宋体"/>
                <w:b/>
                <w:bCs/>
                <w:sz w:val="18"/>
                <w:szCs w:val="22"/>
              </w:rPr>
              <w:t>表7.2.2 洁净用房的分级标准（空态或静态）</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3"/>
              <w:gridCol w:w="1628"/>
              <w:gridCol w:w="1440"/>
              <w:gridCol w:w="675"/>
            </w:tblGrid>
            <w:tr w14:paraId="2441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6148C7BF">
                  <w:pPr>
                    <w:spacing w:line="240" w:lineRule="auto"/>
                    <w:jc w:val="center"/>
                    <w:rPr>
                      <w:rFonts w:ascii="宋体" w:hAnsi="宋体" w:eastAsia="宋体"/>
                      <w:bCs/>
                      <w:sz w:val="18"/>
                      <w:szCs w:val="22"/>
                    </w:rPr>
                  </w:pPr>
                  <w:r>
                    <w:rPr>
                      <w:rFonts w:hint="eastAsia" w:ascii="宋体" w:hAnsi="宋体" w:eastAsia="宋体"/>
                      <w:bCs/>
                      <w:sz w:val="18"/>
                      <w:szCs w:val="22"/>
                    </w:rPr>
                    <w:t>用房</w:t>
                  </w:r>
                </w:p>
                <w:p w14:paraId="4023D2B0">
                  <w:pPr>
                    <w:spacing w:line="240" w:lineRule="auto"/>
                    <w:jc w:val="center"/>
                    <w:rPr>
                      <w:rFonts w:ascii="宋体" w:hAnsi="宋体" w:eastAsia="宋体"/>
                      <w:bCs/>
                      <w:sz w:val="18"/>
                      <w:szCs w:val="22"/>
                    </w:rPr>
                  </w:pPr>
                  <w:r>
                    <w:rPr>
                      <w:rFonts w:hint="eastAsia" w:ascii="宋体" w:hAnsi="宋体" w:eastAsia="宋体"/>
                      <w:bCs/>
                      <w:sz w:val="18"/>
                      <w:szCs w:val="22"/>
                    </w:rPr>
                    <w:t>等级</w:t>
                  </w:r>
                </w:p>
              </w:tc>
              <w:tc>
                <w:tcPr>
                  <w:tcW w:w="1628" w:type="dxa"/>
                  <w:vAlign w:val="center"/>
                </w:tcPr>
                <w:p w14:paraId="39567DC8">
                  <w:pPr>
                    <w:spacing w:line="240" w:lineRule="auto"/>
                    <w:jc w:val="center"/>
                    <w:rPr>
                      <w:rFonts w:ascii="宋体" w:hAnsi="宋体" w:eastAsia="宋体"/>
                      <w:bCs/>
                      <w:sz w:val="18"/>
                      <w:szCs w:val="22"/>
                    </w:rPr>
                  </w:pPr>
                  <w:r>
                    <w:rPr>
                      <w:rFonts w:hint="eastAsia" w:ascii="宋体" w:hAnsi="宋体" w:eastAsia="宋体"/>
                      <w:bCs/>
                      <w:sz w:val="18"/>
                      <w:szCs w:val="22"/>
                    </w:rPr>
                    <w:t>沉降法（浮游法）细菌最大平均浓度</w:t>
                  </w:r>
                </w:p>
                <w:p w14:paraId="46244550">
                  <w:pPr>
                    <w:spacing w:line="240" w:lineRule="auto"/>
                    <w:jc w:val="center"/>
                    <w:rPr>
                      <w:rFonts w:ascii="宋体" w:hAnsi="宋体" w:eastAsia="宋体"/>
                      <w:bCs/>
                      <w:sz w:val="18"/>
                      <w:szCs w:val="22"/>
                    </w:rPr>
                  </w:pPr>
                  <w:r>
                    <w:rPr>
                      <w:rFonts w:hint="eastAsia" w:ascii="宋体" w:hAnsi="宋体" w:eastAsia="宋体"/>
                      <w:bCs/>
                      <w:sz w:val="18"/>
                      <w:szCs w:val="22"/>
                    </w:rPr>
                    <w:t>个/30min</w:t>
                  </w:r>
                  <w:r>
                    <w:rPr>
                      <w:rFonts w:ascii="宋体" w:hAnsi="宋体" w:eastAsia="宋体"/>
                      <w:sz w:val="18"/>
                      <w:szCs w:val="22"/>
                    </w:rPr>
                    <w:t>·</w:t>
                  </w:r>
                  <w:r>
                    <w:rPr>
                      <w:rFonts w:hint="eastAsia" w:ascii="宋体" w:hAnsi="宋体" w:eastAsia="宋体"/>
                      <w:bCs/>
                      <w:sz w:val="18"/>
                      <w:szCs w:val="22"/>
                    </w:rPr>
                    <w:t>φ90皿（个/m</w:t>
                  </w:r>
                  <w:r>
                    <w:rPr>
                      <w:rFonts w:hint="eastAsia" w:ascii="宋体" w:hAnsi="宋体" w:eastAsia="宋体"/>
                      <w:bCs/>
                      <w:sz w:val="18"/>
                      <w:szCs w:val="22"/>
                      <w:vertAlign w:val="superscript"/>
                    </w:rPr>
                    <w:t>3</w:t>
                  </w:r>
                  <w:r>
                    <w:rPr>
                      <w:rFonts w:hint="eastAsia" w:ascii="宋体" w:hAnsi="宋体" w:eastAsia="宋体"/>
                      <w:bCs/>
                      <w:sz w:val="18"/>
                      <w:szCs w:val="22"/>
                    </w:rPr>
                    <w:t>）</w:t>
                  </w:r>
                </w:p>
              </w:tc>
              <w:tc>
                <w:tcPr>
                  <w:tcW w:w="1440" w:type="dxa"/>
                  <w:vAlign w:val="center"/>
                </w:tcPr>
                <w:p w14:paraId="7883D7DD">
                  <w:pPr>
                    <w:spacing w:line="240" w:lineRule="auto"/>
                    <w:jc w:val="center"/>
                    <w:rPr>
                      <w:rFonts w:ascii="宋体" w:hAnsi="宋体" w:eastAsia="宋体"/>
                      <w:bCs/>
                      <w:sz w:val="18"/>
                      <w:szCs w:val="22"/>
                    </w:rPr>
                  </w:pPr>
                  <w:r>
                    <w:rPr>
                      <w:rFonts w:hint="eastAsia" w:ascii="宋体" w:hAnsi="宋体" w:eastAsia="宋体"/>
                      <w:bCs/>
                      <w:sz w:val="18"/>
                      <w:szCs w:val="22"/>
                    </w:rPr>
                    <w:t>换气次数</w:t>
                  </w:r>
                </w:p>
                <w:p w14:paraId="74FD3643">
                  <w:pPr>
                    <w:spacing w:line="240" w:lineRule="auto"/>
                    <w:jc w:val="center"/>
                    <w:rPr>
                      <w:rFonts w:ascii="宋体" w:hAnsi="宋体" w:eastAsia="宋体"/>
                      <w:bCs/>
                      <w:sz w:val="18"/>
                      <w:szCs w:val="22"/>
                    </w:rPr>
                  </w:pPr>
                  <w:r>
                    <w:rPr>
                      <w:rFonts w:hint="eastAsia" w:ascii="宋体" w:hAnsi="宋体" w:eastAsia="宋体"/>
                      <w:bCs/>
                      <w:sz w:val="18"/>
                      <w:szCs w:val="22"/>
                    </w:rPr>
                    <w:t>（次/h）</w:t>
                  </w:r>
                </w:p>
              </w:tc>
              <w:tc>
                <w:tcPr>
                  <w:tcW w:w="675" w:type="dxa"/>
                  <w:vAlign w:val="center"/>
                </w:tcPr>
                <w:p w14:paraId="3117A7A5">
                  <w:pPr>
                    <w:spacing w:line="240" w:lineRule="auto"/>
                    <w:jc w:val="center"/>
                    <w:rPr>
                      <w:rFonts w:ascii="宋体" w:hAnsi="宋体" w:eastAsia="宋体"/>
                      <w:bCs/>
                      <w:sz w:val="18"/>
                      <w:szCs w:val="22"/>
                    </w:rPr>
                  </w:pPr>
                  <w:r>
                    <w:rPr>
                      <w:rFonts w:hint="eastAsia" w:ascii="宋体" w:hAnsi="宋体" w:eastAsia="宋体"/>
                      <w:bCs/>
                      <w:sz w:val="18"/>
                      <w:szCs w:val="22"/>
                    </w:rPr>
                    <w:t>表面最大染菌</w:t>
                  </w:r>
                </w:p>
                <w:p w14:paraId="73872FCB">
                  <w:pPr>
                    <w:spacing w:line="240" w:lineRule="auto"/>
                    <w:jc w:val="center"/>
                    <w:rPr>
                      <w:rFonts w:ascii="宋体" w:hAnsi="宋体" w:eastAsia="宋体"/>
                      <w:bCs/>
                      <w:sz w:val="18"/>
                      <w:szCs w:val="22"/>
                    </w:rPr>
                  </w:pPr>
                  <w:r>
                    <w:rPr>
                      <w:rFonts w:hint="eastAsia" w:ascii="宋体" w:hAnsi="宋体" w:eastAsia="宋体"/>
                      <w:bCs/>
                      <w:sz w:val="18"/>
                      <w:szCs w:val="22"/>
                    </w:rPr>
                    <w:t>密度</w:t>
                  </w:r>
                  <w:r>
                    <w:rPr>
                      <w:rFonts w:ascii="宋体" w:hAnsi="宋体" w:eastAsia="宋体"/>
                      <w:bCs/>
                      <w:sz w:val="18"/>
                      <w:szCs w:val="22"/>
                    </w:rPr>
                    <w:br w:type="textWrapping"/>
                  </w:r>
                  <w:r>
                    <w:rPr>
                      <w:rFonts w:hint="eastAsia" w:ascii="宋体" w:hAnsi="宋体" w:eastAsia="宋体"/>
                      <w:bCs/>
                      <w:sz w:val="18"/>
                      <w:szCs w:val="22"/>
                    </w:rPr>
                    <w:t>（个/cm²）</w:t>
                  </w:r>
                </w:p>
              </w:tc>
            </w:tr>
            <w:tr w14:paraId="168B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7C93C5EB">
                  <w:pPr>
                    <w:spacing w:line="240" w:lineRule="auto"/>
                    <w:jc w:val="center"/>
                    <w:rPr>
                      <w:rFonts w:ascii="宋体" w:hAnsi="宋体" w:eastAsia="宋体"/>
                      <w:bCs/>
                      <w:sz w:val="18"/>
                      <w:szCs w:val="22"/>
                    </w:rPr>
                  </w:pPr>
                  <w:r>
                    <w:rPr>
                      <w:rFonts w:ascii="宋体" w:hAnsi="宋体" w:eastAsia="宋体"/>
                      <w:bCs/>
                      <w:sz w:val="18"/>
                      <w:szCs w:val="22"/>
                    </w:rPr>
                    <w:t>Ⅰ</w:t>
                  </w:r>
                </w:p>
              </w:tc>
              <w:tc>
                <w:tcPr>
                  <w:tcW w:w="1628" w:type="dxa"/>
                  <w:vAlign w:val="center"/>
                </w:tcPr>
                <w:p w14:paraId="4C1CCCB2">
                  <w:pPr>
                    <w:spacing w:line="240" w:lineRule="auto"/>
                    <w:jc w:val="center"/>
                    <w:rPr>
                      <w:rFonts w:ascii="宋体" w:hAnsi="宋体" w:eastAsia="宋体"/>
                      <w:bCs/>
                      <w:sz w:val="18"/>
                      <w:szCs w:val="22"/>
                    </w:rPr>
                  </w:pPr>
                  <w:r>
                    <w:rPr>
                      <w:rFonts w:hint="eastAsia" w:ascii="宋体" w:hAnsi="宋体" w:eastAsia="宋体"/>
                      <w:bCs/>
                      <w:sz w:val="18"/>
                      <w:szCs w:val="22"/>
                    </w:rPr>
                    <w:t>局部为0.2(5)</w:t>
                  </w:r>
                  <w:r>
                    <w:rPr>
                      <w:rFonts w:hint="eastAsia" w:ascii="宋体" w:hAnsi="宋体" w:eastAsia="宋体"/>
                      <w:bCs/>
                      <w:sz w:val="18"/>
                      <w:szCs w:val="22"/>
                      <w:vertAlign w:val="superscript"/>
                    </w:rPr>
                    <w:t>注</w:t>
                  </w:r>
                  <w:r>
                    <w:rPr>
                      <w:rFonts w:hint="eastAsia" w:ascii="宋体" w:hAnsi="宋体" w:eastAsia="宋体"/>
                      <w:bCs/>
                      <w:sz w:val="18"/>
                      <w:szCs w:val="22"/>
                    </w:rPr>
                    <w:t>，其他区域0.4(10)</w:t>
                  </w:r>
                </w:p>
              </w:tc>
              <w:tc>
                <w:tcPr>
                  <w:tcW w:w="1440" w:type="dxa"/>
                  <w:vAlign w:val="center"/>
                </w:tcPr>
                <w:p w14:paraId="07E59A1D">
                  <w:pPr>
                    <w:spacing w:line="240" w:lineRule="auto"/>
                    <w:jc w:val="center"/>
                    <w:rPr>
                      <w:rFonts w:ascii="宋体" w:hAnsi="宋体" w:eastAsia="宋体"/>
                      <w:bCs/>
                      <w:sz w:val="18"/>
                      <w:szCs w:val="22"/>
                    </w:rPr>
                  </w:pPr>
                  <w:r>
                    <w:rPr>
                      <w:rFonts w:hint="eastAsia" w:ascii="宋体" w:hAnsi="宋体" w:eastAsia="宋体"/>
                      <w:bCs/>
                      <w:sz w:val="18"/>
                      <w:szCs w:val="22"/>
                    </w:rPr>
                    <w:t>截面风速根据房间功能确定，在具体条文中给出</w:t>
                  </w:r>
                </w:p>
              </w:tc>
              <w:tc>
                <w:tcPr>
                  <w:tcW w:w="675" w:type="dxa"/>
                  <w:vAlign w:val="center"/>
                </w:tcPr>
                <w:p w14:paraId="0E560F06">
                  <w:pPr>
                    <w:spacing w:line="240" w:lineRule="auto"/>
                    <w:jc w:val="center"/>
                    <w:rPr>
                      <w:rFonts w:ascii="宋体" w:hAnsi="宋体" w:eastAsia="宋体"/>
                      <w:bCs/>
                      <w:sz w:val="18"/>
                      <w:szCs w:val="22"/>
                    </w:rPr>
                  </w:pPr>
                  <w:r>
                    <w:rPr>
                      <w:rFonts w:ascii="宋体" w:hAnsi="宋体" w:eastAsia="宋体"/>
                      <w:bCs/>
                      <w:sz w:val="18"/>
                      <w:szCs w:val="22"/>
                    </w:rPr>
                    <w:t>5</w:t>
                  </w:r>
                </w:p>
              </w:tc>
            </w:tr>
            <w:tr w14:paraId="5DD7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6F8E1968">
                  <w:pPr>
                    <w:spacing w:line="240" w:lineRule="auto"/>
                    <w:jc w:val="center"/>
                    <w:rPr>
                      <w:rFonts w:ascii="宋体" w:hAnsi="宋体" w:eastAsia="宋体"/>
                      <w:bCs/>
                      <w:sz w:val="18"/>
                      <w:szCs w:val="22"/>
                    </w:rPr>
                  </w:pPr>
                  <w:r>
                    <w:rPr>
                      <w:rFonts w:ascii="宋体" w:hAnsi="宋体" w:eastAsia="宋体"/>
                      <w:bCs/>
                      <w:sz w:val="18"/>
                      <w:szCs w:val="22"/>
                    </w:rPr>
                    <w:t>Ⅱ</w:t>
                  </w:r>
                </w:p>
              </w:tc>
              <w:tc>
                <w:tcPr>
                  <w:tcW w:w="1628" w:type="dxa"/>
                  <w:vAlign w:val="center"/>
                </w:tcPr>
                <w:p w14:paraId="3971A7B0">
                  <w:pPr>
                    <w:spacing w:line="240" w:lineRule="auto"/>
                    <w:jc w:val="center"/>
                    <w:rPr>
                      <w:rFonts w:ascii="宋体" w:hAnsi="宋体" w:eastAsia="宋体"/>
                      <w:bCs/>
                      <w:sz w:val="18"/>
                      <w:szCs w:val="22"/>
                    </w:rPr>
                  </w:pPr>
                  <w:r>
                    <w:rPr>
                      <w:rFonts w:hint="eastAsia" w:ascii="宋体" w:hAnsi="宋体" w:eastAsia="宋体"/>
                      <w:bCs/>
                      <w:sz w:val="18"/>
                      <w:szCs w:val="22"/>
                    </w:rPr>
                    <w:t>1.5(50)</w:t>
                  </w:r>
                </w:p>
              </w:tc>
              <w:tc>
                <w:tcPr>
                  <w:tcW w:w="1440" w:type="dxa"/>
                  <w:vAlign w:val="center"/>
                </w:tcPr>
                <w:p w14:paraId="583ADCFC">
                  <w:pPr>
                    <w:spacing w:line="240" w:lineRule="auto"/>
                    <w:jc w:val="center"/>
                    <w:rPr>
                      <w:rFonts w:ascii="宋体" w:hAnsi="宋体" w:eastAsia="宋体"/>
                      <w:bCs/>
                      <w:sz w:val="18"/>
                      <w:szCs w:val="22"/>
                    </w:rPr>
                  </w:pPr>
                  <w:r>
                    <w:rPr>
                      <w:rFonts w:ascii="宋体" w:hAnsi="宋体" w:eastAsia="宋体"/>
                      <w:bCs/>
                      <w:sz w:val="18"/>
                      <w:szCs w:val="22"/>
                    </w:rPr>
                    <w:t>17～20</w:t>
                  </w:r>
                </w:p>
              </w:tc>
              <w:tc>
                <w:tcPr>
                  <w:tcW w:w="675" w:type="dxa"/>
                  <w:vAlign w:val="center"/>
                </w:tcPr>
                <w:p w14:paraId="653C856A">
                  <w:pPr>
                    <w:spacing w:line="240" w:lineRule="auto"/>
                    <w:jc w:val="center"/>
                    <w:rPr>
                      <w:rFonts w:ascii="宋体" w:hAnsi="宋体" w:eastAsia="宋体"/>
                      <w:bCs/>
                      <w:sz w:val="18"/>
                      <w:szCs w:val="22"/>
                    </w:rPr>
                  </w:pPr>
                  <w:r>
                    <w:rPr>
                      <w:rFonts w:ascii="宋体" w:hAnsi="宋体" w:eastAsia="宋体"/>
                      <w:bCs/>
                      <w:sz w:val="18"/>
                      <w:szCs w:val="22"/>
                    </w:rPr>
                    <w:t>5</w:t>
                  </w:r>
                </w:p>
              </w:tc>
            </w:tr>
            <w:tr w14:paraId="0780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1F139667">
                  <w:pPr>
                    <w:spacing w:line="240" w:lineRule="auto"/>
                    <w:jc w:val="center"/>
                    <w:rPr>
                      <w:rFonts w:ascii="宋体" w:hAnsi="宋体" w:eastAsia="宋体"/>
                      <w:bCs/>
                      <w:sz w:val="18"/>
                      <w:szCs w:val="22"/>
                    </w:rPr>
                  </w:pPr>
                  <w:r>
                    <w:rPr>
                      <w:rFonts w:hint="eastAsia" w:ascii="宋体" w:hAnsi="宋体" w:eastAsia="宋体"/>
                      <w:bCs/>
                      <w:sz w:val="18"/>
                      <w:szCs w:val="22"/>
                    </w:rPr>
                    <w:t>Ⅲ</w:t>
                  </w:r>
                </w:p>
              </w:tc>
              <w:tc>
                <w:tcPr>
                  <w:tcW w:w="1628" w:type="dxa"/>
                  <w:vAlign w:val="center"/>
                </w:tcPr>
                <w:p w14:paraId="4D7DA7C9">
                  <w:pPr>
                    <w:spacing w:line="240" w:lineRule="auto"/>
                    <w:jc w:val="center"/>
                    <w:rPr>
                      <w:rFonts w:ascii="宋体" w:hAnsi="宋体" w:eastAsia="宋体"/>
                      <w:bCs/>
                      <w:sz w:val="18"/>
                      <w:szCs w:val="22"/>
                    </w:rPr>
                  </w:pPr>
                  <w:r>
                    <w:rPr>
                      <w:rFonts w:ascii="宋体" w:hAnsi="宋体" w:eastAsia="宋体"/>
                      <w:bCs/>
                      <w:sz w:val="18"/>
                      <w:szCs w:val="22"/>
                    </w:rPr>
                    <w:t>4(</w:t>
                  </w:r>
                  <w:r>
                    <w:rPr>
                      <w:rFonts w:hint="eastAsia" w:ascii="宋体" w:hAnsi="宋体" w:eastAsia="宋体"/>
                      <w:bCs/>
                      <w:sz w:val="18"/>
                      <w:szCs w:val="22"/>
                    </w:rPr>
                    <w:t>1</w:t>
                  </w:r>
                  <w:r>
                    <w:rPr>
                      <w:rFonts w:ascii="宋体" w:hAnsi="宋体" w:eastAsia="宋体"/>
                      <w:bCs/>
                      <w:sz w:val="18"/>
                      <w:szCs w:val="22"/>
                    </w:rPr>
                    <w:t>50)</w:t>
                  </w:r>
                </w:p>
              </w:tc>
              <w:tc>
                <w:tcPr>
                  <w:tcW w:w="1440" w:type="dxa"/>
                  <w:vAlign w:val="center"/>
                </w:tcPr>
                <w:p w14:paraId="689AB6F7">
                  <w:pPr>
                    <w:spacing w:line="240" w:lineRule="auto"/>
                    <w:jc w:val="center"/>
                    <w:rPr>
                      <w:rFonts w:ascii="宋体" w:hAnsi="宋体" w:eastAsia="宋体"/>
                      <w:bCs/>
                      <w:sz w:val="18"/>
                      <w:szCs w:val="22"/>
                    </w:rPr>
                  </w:pPr>
                  <w:r>
                    <w:rPr>
                      <w:rFonts w:hint="eastAsia" w:ascii="宋体" w:hAnsi="宋体" w:eastAsia="宋体"/>
                      <w:bCs/>
                      <w:sz w:val="18"/>
                      <w:szCs w:val="22"/>
                    </w:rPr>
                    <w:t>10</w:t>
                  </w:r>
                  <w:r>
                    <w:rPr>
                      <w:rFonts w:ascii="宋体" w:hAnsi="宋体" w:eastAsia="宋体"/>
                      <w:bCs/>
                      <w:sz w:val="18"/>
                      <w:szCs w:val="22"/>
                    </w:rPr>
                    <w:t>～</w:t>
                  </w:r>
                  <w:r>
                    <w:rPr>
                      <w:rFonts w:hint="eastAsia" w:ascii="宋体" w:hAnsi="宋体" w:eastAsia="宋体"/>
                      <w:bCs/>
                      <w:sz w:val="18"/>
                      <w:szCs w:val="22"/>
                    </w:rPr>
                    <w:t>13</w:t>
                  </w:r>
                </w:p>
              </w:tc>
              <w:tc>
                <w:tcPr>
                  <w:tcW w:w="675" w:type="dxa"/>
                  <w:vAlign w:val="center"/>
                </w:tcPr>
                <w:p w14:paraId="1269FF9E">
                  <w:pPr>
                    <w:spacing w:line="240" w:lineRule="auto"/>
                    <w:jc w:val="center"/>
                    <w:rPr>
                      <w:rFonts w:ascii="宋体" w:hAnsi="宋体" w:eastAsia="宋体"/>
                      <w:bCs/>
                      <w:sz w:val="18"/>
                      <w:szCs w:val="22"/>
                    </w:rPr>
                  </w:pPr>
                  <w:r>
                    <w:rPr>
                      <w:rFonts w:ascii="宋体" w:hAnsi="宋体" w:eastAsia="宋体"/>
                      <w:bCs/>
                      <w:sz w:val="18"/>
                      <w:szCs w:val="22"/>
                    </w:rPr>
                    <w:t>5</w:t>
                  </w:r>
                </w:p>
              </w:tc>
            </w:tr>
            <w:tr w14:paraId="15CD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83" w:type="dxa"/>
                  <w:vAlign w:val="center"/>
                </w:tcPr>
                <w:p w14:paraId="588E329A">
                  <w:pPr>
                    <w:spacing w:line="240" w:lineRule="auto"/>
                    <w:jc w:val="center"/>
                    <w:rPr>
                      <w:rFonts w:ascii="宋体" w:hAnsi="宋体" w:eastAsia="宋体"/>
                      <w:bCs/>
                      <w:sz w:val="18"/>
                      <w:szCs w:val="22"/>
                    </w:rPr>
                  </w:pPr>
                  <w:r>
                    <w:rPr>
                      <w:rFonts w:ascii="宋体" w:hAnsi="宋体" w:eastAsia="宋体"/>
                      <w:bCs/>
                      <w:sz w:val="18"/>
                      <w:szCs w:val="22"/>
                    </w:rPr>
                    <w:t>Ⅳ</w:t>
                  </w:r>
                </w:p>
              </w:tc>
              <w:tc>
                <w:tcPr>
                  <w:tcW w:w="1628" w:type="dxa"/>
                  <w:vAlign w:val="center"/>
                </w:tcPr>
                <w:p w14:paraId="62382066">
                  <w:pPr>
                    <w:spacing w:line="240" w:lineRule="auto"/>
                    <w:jc w:val="center"/>
                    <w:rPr>
                      <w:rFonts w:ascii="宋体" w:hAnsi="宋体" w:eastAsia="宋体"/>
                      <w:bCs/>
                      <w:sz w:val="18"/>
                      <w:szCs w:val="22"/>
                    </w:rPr>
                  </w:pPr>
                  <w:r>
                    <w:rPr>
                      <w:rFonts w:ascii="宋体" w:hAnsi="宋体" w:eastAsia="宋体"/>
                      <w:bCs/>
                      <w:sz w:val="18"/>
                      <w:szCs w:val="22"/>
                    </w:rPr>
                    <w:t>6</w:t>
                  </w:r>
                </w:p>
              </w:tc>
              <w:tc>
                <w:tcPr>
                  <w:tcW w:w="1440" w:type="dxa"/>
                  <w:vAlign w:val="center"/>
                </w:tcPr>
                <w:p w14:paraId="1E3FDCD2">
                  <w:pPr>
                    <w:spacing w:line="240" w:lineRule="auto"/>
                    <w:jc w:val="center"/>
                    <w:rPr>
                      <w:rFonts w:ascii="宋体" w:hAnsi="宋体" w:eastAsia="宋体"/>
                      <w:bCs/>
                      <w:sz w:val="18"/>
                      <w:szCs w:val="22"/>
                    </w:rPr>
                  </w:pPr>
                  <w:r>
                    <w:rPr>
                      <w:rFonts w:hint="eastAsia" w:ascii="宋体" w:hAnsi="宋体" w:eastAsia="宋体"/>
                      <w:bCs/>
                      <w:sz w:val="18"/>
                      <w:szCs w:val="22"/>
                    </w:rPr>
                    <w:t>8</w:t>
                  </w:r>
                  <w:r>
                    <w:rPr>
                      <w:rFonts w:ascii="宋体" w:hAnsi="宋体" w:eastAsia="宋体"/>
                      <w:bCs/>
                      <w:sz w:val="18"/>
                      <w:szCs w:val="22"/>
                    </w:rPr>
                    <w:t>～</w:t>
                  </w:r>
                  <w:r>
                    <w:rPr>
                      <w:rFonts w:hint="eastAsia" w:ascii="宋体" w:hAnsi="宋体" w:eastAsia="宋体"/>
                      <w:bCs/>
                      <w:sz w:val="18"/>
                      <w:szCs w:val="22"/>
                    </w:rPr>
                    <w:t>10</w:t>
                  </w:r>
                </w:p>
              </w:tc>
              <w:tc>
                <w:tcPr>
                  <w:tcW w:w="675" w:type="dxa"/>
                  <w:vAlign w:val="center"/>
                </w:tcPr>
                <w:p w14:paraId="1307301F">
                  <w:pPr>
                    <w:spacing w:line="240" w:lineRule="auto"/>
                    <w:jc w:val="center"/>
                    <w:rPr>
                      <w:rFonts w:ascii="宋体" w:hAnsi="宋体" w:eastAsia="宋体"/>
                      <w:bCs/>
                      <w:sz w:val="18"/>
                      <w:szCs w:val="22"/>
                    </w:rPr>
                  </w:pPr>
                  <w:r>
                    <w:rPr>
                      <w:rFonts w:ascii="宋体" w:hAnsi="宋体" w:eastAsia="宋体"/>
                      <w:bCs/>
                      <w:sz w:val="18"/>
                      <w:szCs w:val="22"/>
                    </w:rPr>
                    <w:t>5</w:t>
                  </w:r>
                </w:p>
              </w:tc>
            </w:tr>
          </w:tbl>
          <w:p w14:paraId="1192583C">
            <w:pPr>
              <w:spacing w:line="240" w:lineRule="auto"/>
              <w:ind w:firstLine="360" w:firstLineChars="200"/>
              <w:jc w:val="left"/>
            </w:pPr>
            <w:r>
              <w:rPr>
                <w:rFonts w:hint="eastAsia" w:ascii="宋体" w:hAnsi="宋体" w:eastAsia="宋体" w:cs="宋体"/>
                <w:kern w:val="0"/>
                <w:sz w:val="18"/>
              </w:rPr>
              <w:t>注：</w:t>
            </w:r>
            <w:r>
              <w:rPr>
                <w:rFonts w:ascii="宋体" w:hAnsi="宋体" w:eastAsia="宋体" w:cs="宋体"/>
                <w:kern w:val="0"/>
                <w:sz w:val="18"/>
              </w:rPr>
              <w:t>局部集中送风时的标准。若全室为单向流时，局部标准应为全室标准。</w:t>
            </w:r>
          </w:p>
        </w:tc>
      </w:tr>
      <w:tr w14:paraId="14FF8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85FFCA4">
            <w:r>
              <w:rPr>
                <w:rFonts w:hint="eastAsia" w:asciiTheme="minorEastAsia" w:hAnsiTheme="minorEastAsia"/>
                <w:bCs/>
              </w:rPr>
              <w:t>7.2.3 Ⅰ级洁净用房的送风末端应设高效过滤器，Ⅱ级洁净用房送风末端可设</w:t>
            </w:r>
            <w:r>
              <w:rPr>
                <w:rFonts w:hint="eastAsia" w:asciiTheme="minorEastAsia" w:hAnsiTheme="minorEastAsia"/>
                <w:bCs/>
                <w:bdr w:val="single" w:color="auto" w:sz="4" w:space="0"/>
              </w:rPr>
              <w:t>高效或</w:t>
            </w:r>
            <w:r>
              <w:rPr>
                <w:rFonts w:hint="eastAsia" w:asciiTheme="minorEastAsia" w:hAnsiTheme="minorEastAsia"/>
                <w:bCs/>
              </w:rPr>
              <w:t>亚高效过滤器，Ⅲ级洁净用房的送风末端可设</w:t>
            </w:r>
            <w:r>
              <w:rPr>
                <w:rFonts w:hint="eastAsia" w:asciiTheme="minorEastAsia" w:hAnsiTheme="minorEastAsia"/>
                <w:bCs/>
                <w:bdr w:val="single" w:color="auto" w:sz="4" w:space="0"/>
              </w:rPr>
              <w:t>亚</w:t>
            </w:r>
            <w:r>
              <w:rPr>
                <w:rFonts w:hint="eastAsia" w:asciiTheme="minorEastAsia" w:hAnsiTheme="minorEastAsia"/>
                <w:bCs/>
              </w:rPr>
              <w:t>高效过滤器</w:t>
            </w:r>
            <w:r>
              <w:rPr>
                <w:rFonts w:hint="eastAsia" w:asciiTheme="minorEastAsia" w:hAnsiTheme="minorEastAsia"/>
                <w:bCs/>
                <w:bdr w:val="single" w:color="auto" w:sz="4" w:space="0"/>
              </w:rPr>
              <w:t>，Ⅳ级洁净用房的送风末端可设高中效过滤器</w:t>
            </w:r>
            <w:r>
              <w:rPr>
                <w:rFonts w:hint="eastAsia" w:asciiTheme="minorEastAsia" w:hAnsiTheme="minorEastAsia"/>
                <w:bCs/>
              </w:rPr>
              <w:t>。</w:t>
            </w:r>
          </w:p>
        </w:tc>
        <w:tc>
          <w:tcPr>
            <w:tcW w:w="4261" w:type="dxa"/>
          </w:tcPr>
          <w:p w14:paraId="056BD60E">
            <w:r>
              <w:rPr>
                <w:rFonts w:hint="eastAsia" w:asciiTheme="minorEastAsia" w:hAnsiTheme="minorEastAsia"/>
                <w:bCs/>
              </w:rPr>
              <w:t>7.2.3 Ⅰ级洁净用房的送风末端应设高效过滤器，Ⅱ级洁净用房送风末端可设亚高效过滤器，Ⅲ</w:t>
            </w:r>
            <w:r>
              <w:rPr>
                <w:rFonts w:asciiTheme="minorEastAsia" w:hAnsiTheme="minorEastAsia"/>
                <w:bCs/>
                <w:u w:val="single"/>
              </w:rPr>
              <w:t>、</w:t>
            </w:r>
            <w:r>
              <w:rPr>
                <w:rFonts w:asciiTheme="minorEastAsia" w:hAnsiTheme="minorEastAsia"/>
                <w:bCs/>
                <w:u w:val="single"/>
              </w:rPr>
              <w:fldChar w:fldCharType="begin"/>
            </w:r>
            <w:r>
              <w:rPr>
                <w:rFonts w:asciiTheme="minorEastAsia" w:hAnsiTheme="minorEastAsia"/>
                <w:bCs/>
                <w:u w:val="single"/>
              </w:rPr>
              <w:instrText xml:space="preserve"> = 4 \* ROMAN </w:instrText>
            </w:r>
            <w:r>
              <w:rPr>
                <w:rFonts w:asciiTheme="minorEastAsia" w:hAnsiTheme="minorEastAsia"/>
                <w:bCs/>
                <w:u w:val="single"/>
              </w:rPr>
              <w:fldChar w:fldCharType="separate"/>
            </w:r>
            <w:r>
              <w:rPr>
                <w:rFonts w:asciiTheme="minorEastAsia" w:hAnsiTheme="minorEastAsia"/>
                <w:bCs/>
                <w:u w:val="single"/>
              </w:rPr>
              <w:t>Ⅳ</w:t>
            </w:r>
            <w:r>
              <w:rPr>
                <w:rFonts w:asciiTheme="minorEastAsia" w:hAnsiTheme="minorEastAsia"/>
                <w:bCs/>
                <w:u w:val="single"/>
              </w:rPr>
              <w:fldChar w:fldCharType="end"/>
            </w:r>
            <w:r>
              <w:rPr>
                <w:rFonts w:hint="eastAsia" w:asciiTheme="minorEastAsia" w:hAnsiTheme="minorEastAsia"/>
                <w:bCs/>
              </w:rPr>
              <w:t>级洁净用房的送风末端可设</w:t>
            </w:r>
            <w:r>
              <w:rPr>
                <w:rFonts w:hint="eastAsia" w:asciiTheme="minorEastAsia" w:hAnsiTheme="minorEastAsia"/>
                <w:bCs/>
                <w:u w:val="single"/>
              </w:rPr>
              <w:t>不同效率的</w:t>
            </w:r>
            <w:r>
              <w:rPr>
                <w:rFonts w:hint="eastAsia" w:asciiTheme="minorEastAsia" w:hAnsiTheme="minorEastAsia"/>
                <w:bCs/>
              </w:rPr>
              <w:t>高</w:t>
            </w:r>
            <w:r>
              <w:rPr>
                <w:rFonts w:hint="eastAsia" w:asciiTheme="minorEastAsia" w:hAnsiTheme="minorEastAsia"/>
                <w:bCs/>
                <w:u w:val="single"/>
              </w:rPr>
              <w:t>中</w:t>
            </w:r>
            <w:r>
              <w:rPr>
                <w:rFonts w:hint="eastAsia" w:asciiTheme="minorEastAsia" w:hAnsiTheme="minorEastAsia"/>
                <w:bCs/>
              </w:rPr>
              <w:t>效过滤器。</w:t>
            </w:r>
          </w:p>
        </w:tc>
      </w:tr>
      <w:tr w14:paraId="3127E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AC1247F">
            <w:r>
              <w:rPr>
                <w:rFonts w:hint="eastAsia" w:asciiTheme="minorEastAsia" w:hAnsiTheme="minorEastAsia"/>
                <w:bCs/>
              </w:rPr>
              <w:t>7.2.5 洁净用房内不应采用普通的风机盘管机组或空调器。Ⅲ级、Ⅳ级洁净用房内采用带</w:t>
            </w:r>
            <w:r>
              <w:rPr>
                <w:rFonts w:hint="eastAsia" w:asciiTheme="minorEastAsia" w:hAnsiTheme="minorEastAsia"/>
                <w:bCs/>
                <w:bdr w:val="single" w:color="auto" w:sz="4" w:space="0"/>
              </w:rPr>
              <w:t>亚高效或</w:t>
            </w:r>
            <w:r>
              <w:rPr>
                <w:rFonts w:hint="eastAsia" w:asciiTheme="minorEastAsia" w:hAnsiTheme="minorEastAsia"/>
                <w:bCs/>
              </w:rPr>
              <w:t>高中效过滤器的净化风机盘管机组或立柜式净化空调器时，新风可集中供给或设立独立的新风机组。</w:t>
            </w:r>
          </w:p>
        </w:tc>
        <w:tc>
          <w:tcPr>
            <w:tcW w:w="4261" w:type="dxa"/>
          </w:tcPr>
          <w:p w14:paraId="4EA1D2FC">
            <w:r>
              <w:rPr>
                <w:rFonts w:hint="eastAsia" w:asciiTheme="minorEastAsia" w:hAnsiTheme="minorEastAsia"/>
                <w:bCs/>
              </w:rPr>
              <w:t>7.2.5 洁净用房内不应采用普通的风机盘管机组或空调器。Ⅲ级、Ⅳ级洁净用房内采用带</w:t>
            </w:r>
            <w:r>
              <w:rPr>
                <w:rFonts w:hint="eastAsia" w:asciiTheme="minorEastAsia" w:hAnsiTheme="minorEastAsia"/>
                <w:bCs/>
                <w:u w:val="single"/>
              </w:rPr>
              <w:t>不低于</w:t>
            </w:r>
            <w:r>
              <w:rPr>
                <w:rFonts w:hint="eastAsia" w:asciiTheme="minorEastAsia" w:hAnsiTheme="minorEastAsia"/>
                <w:bCs/>
              </w:rPr>
              <w:t>高中效过滤器的净化风机盘管机组或立柜式净化空调器时，新风可集中供给或设立独立的新风机组。</w:t>
            </w:r>
          </w:p>
        </w:tc>
      </w:tr>
      <w:tr w14:paraId="115CD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2AB1539">
            <w:r>
              <w:rPr>
                <w:rFonts w:hint="eastAsia" w:asciiTheme="minorEastAsia" w:hAnsiTheme="minorEastAsia"/>
                <w:bCs/>
              </w:rPr>
              <w:t>7.2.8 净化空调系统应在新风口、回风口</w:t>
            </w:r>
            <w:r>
              <w:rPr>
                <w:rFonts w:hint="eastAsia" w:asciiTheme="minorEastAsia" w:hAnsiTheme="minorEastAsia"/>
                <w:bCs/>
                <w:bdr w:val="single" w:color="auto" w:sz="4" w:space="0"/>
              </w:rPr>
              <w:t>和空调机组正压出风面</w:t>
            </w:r>
            <w:r>
              <w:rPr>
                <w:rFonts w:hint="eastAsia" w:asciiTheme="minorEastAsia" w:hAnsiTheme="minorEastAsia"/>
                <w:bCs/>
              </w:rPr>
              <w:t>、送风口3处设置空气过滤器。</w:t>
            </w:r>
          </w:p>
        </w:tc>
        <w:tc>
          <w:tcPr>
            <w:tcW w:w="4261" w:type="dxa"/>
          </w:tcPr>
          <w:p w14:paraId="585A0ACA">
            <w:r>
              <w:rPr>
                <w:rFonts w:hint="eastAsia" w:asciiTheme="minorEastAsia" w:hAnsiTheme="minorEastAsia"/>
                <w:bCs/>
              </w:rPr>
              <w:t>7.2.8 净化空调系统应在新风口、回风口、送风口3处设置空气过滤器。</w:t>
            </w:r>
          </w:p>
        </w:tc>
      </w:tr>
      <w:tr w14:paraId="61890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31503825">
            <w:pPr>
              <w:jc w:val="center"/>
              <w:rPr>
                <w:rFonts w:asciiTheme="minorEastAsia" w:hAnsiTheme="minorEastAsia"/>
              </w:rPr>
            </w:pPr>
            <w:bookmarkStart w:id="38" w:name="_Toc85880760"/>
            <w:r>
              <w:rPr>
                <w:rFonts w:hint="eastAsia" w:asciiTheme="minorEastAsia" w:hAnsiTheme="minorEastAsia"/>
              </w:rPr>
              <w:t>7.3 门诊部</w:t>
            </w:r>
            <w:bookmarkEnd w:id="38"/>
          </w:p>
        </w:tc>
        <w:tc>
          <w:tcPr>
            <w:tcW w:w="4261" w:type="dxa"/>
          </w:tcPr>
          <w:p w14:paraId="6D86A587">
            <w:pPr>
              <w:jc w:val="center"/>
              <w:rPr>
                <w:rFonts w:asciiTheme="minorEastAsia" w:hAnsiTheme="minorEastAsia"/>
              </w:rPr>
            </w:pPr>
            <w:r>
              <w:rPr>
                <w:rFonts w:hint="eastAsia" w:asciiTheme="minorEastAsia" w:hAnsiTheme="minorEastAsia"/>
              </w:rPr>
              <w:t>7.3 门诊部</w:t>
            </w:r>
          </w:p>
        </w:tc>
      </w:tr>
      <w:tr w14:paraId="07988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1E43323">
            <w:r>
              <w:rPr>
                <w:rFonts w:hint="eastAsia" w:asciiTheme="minorEastAsia" w:hAnsiTheme="minorEastAsia"/>
                <w:bCs/>
              </w:rPr>
              <w:t>7.3.4 化验室、处置室、换药室等污染较严重的场所，应设局部排风。</w:t>
            </w:r>
          </w:p>
        </w:tc>
        <w:tc>
          <w:tcPr>
            <w:tcW w:w="4261" w:type="dxa"/>
          </w:tcPr>
          <w:p w14:paraId="0A8ABD9B">
            <w:r>
              <w:rPr>
                <w:rFonts w:hint="eastAsia" w:asciiTheme="minorEastAsia" w:hAnsiTheme="minorEastAsia"/>
                <w:bCs/>
              </w:rPr>
              <w:t>7.3.4 化验室、处置室、换药室等污染较严重的场所，应设局部排风</w:t>
            </w:r>
            <w:r>
              <w:rPr>
                <w:rFonts w:hint="eastAsia" w:asciiTheme="minorEastAsia" w:hAnsiTheme="minorEastAsia"/>
                <w:bCs/>
                <w:u w:val="single"/>
              </w:rPr>
              <w:t>；激光皮肤治疗、LEEP刀治疗等场所宜设局部排风</w:t>
            </w:r>
            <w:r>
              <w:rPr>
                <w:rFonts w:hint="eastAsia" w:asciiTheme="minorEastAsia" w:hAnsiTheme="minorEastAsia"/>
                <w:bCs/>
              </w:rPr>
              <w:t>。</w:t>
            </w:r>
          </w:p>
        </w:tc>
      </w:tr>
      <w:tr w14:paraId="6C640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1B58787"/>
        </w:tc>
        <w:tc>
          <w:tcPr>
            <w:tcW w:w="4261" w:type="dxa"/>
          </w:tcPr>
          <w:p w14:paraId="2C1CEAAF">
            <w:r>
              <w:rPr>
                <w:rFonts w:hint="eastAsia" w:asciiTheme="minorEastAsia" w:hAnsiTheme="minorEastAsia"/>
                <w:bCs/>
                <w:u w:val="single"/>
              </w:rPr>
              <w:t>7.3.6 中医灸法治疗室、熏蒸治疗室、煎药室宜采用全面排风和局部排风相结合的复合通风方式。</w:t>
            </w:r>
          </w:p>
        </w:tc>
      </w:tr>
      <w:tr w14:paraId="5590B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590D7F3">
            <w:pPr>
              <w:jc w:val="center"/>
              <w:rPr>
                <w:rFonts w:asciiTheme="minorEastAsia" w:hAnsiTheme="minorEastAsia"/>
              </w:rPr>
            </w:pPr>
            <w:bookmarkStart w:id="39" w:name="_Toc85880761"/>
            <w:r>
              <w:rPr>
                <w:rFonts w:hint="eastAsia" w:asciiTheme="minorEastAsia" w:hAnsiTheme="minorEastAsia"/>
              </w:rPr>
              <w:t>7.4 急诊部</w:t>
            </w:r>
            <w:bookmarkEnd w:id="39"/>
          </w:p>
        </w:tc>
        <w:tc>
          <w:tcPr>
            <w:tcW w:w="4261" w:type="dxa"/>
          </w:tcPr>
          <w:p w14:paraId="30B97380">
            <w:pPr>
              <w:jc w:val="center"/>
              <w:rPr>
                <w:rFonts w:asciiTheme="minorEastAsia" w:hAnsiTheme="minorEastAsia"/>
              </w:rPr>
            </w:pPr>
            <w:r>
              <w:rPr>
                <w:rFonts w:hint="eastAsia" w:asciiTheme="minorEastAsia" w:hAnsiTheme="minorEastAsia"/>
              </w:rPr>
              <w:t>7.4 急诊部</w:t>
            </w:r>
          </w:p>
        </w:tc>
      </w:tr>
      <w:tr w14:paraId="4A94D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2ACBE3B1">
            <w:r>
              <w:rPr>
                <w:rFonts w:hint="eastAsia" w:asciiTheme="minorEastAsia" w:hAnsiTheme="minorEastAsia"/>
              </w:rPr>
              <w:t>7.4.2 急诊隔离区的空调系统宜独立设置，其回风</w:t>
            </w:r>
            <w:r>
              <w:rPr>
                <w:rFonts w:hint="eastAsia" w:asciiTheme="minorEastAsia" w:hAnsiTheme="minorEastAsia"/>
                <w:bdr w:val="single" w:color="auto" w:sz="4" w:space="0"/>
              </w:rPr>
              <w:t>应有中效（含）以上的过滤器</w:t>
            </w:r>
            <w:r>
              <w:rPr>
                <w:rFonts w:hint="eastAsia" w:asciiTheme="minorEastAsia" w:hAnsiTheme="minorEastAsia"/>
              </w:rPr>
              <w:t>，并应有排风系统。当与其他诊室为同一空调系统时，应单独排</w:t>
            </w:r>
            <w:r>
              <w:rPr>
                <w:rFonts w:hint="eastAsia" w:asciiTheme="minorEastAsia" w:hAnsiTheme="minorEastAsia"/>
                <w:bdr w:val="single" w:color="auto" w:sz="4" w:space="0"/>
              </w:rPr>
              <w:t>用</w:t>
            </w:r>
            <w:r>
              <w:rPr>
                <w:rFonts w:hint="eastAsia" w:asciiTheme="minorEastAsia" w:hAnsiTheme="minorEastAsia"/>
              </w:rPr>
              <w:t>，不应系统回风，与相邻并相通的区域应保持不小于5Pa的负压。</w:t>
            </w:r>
          </w:p>
        </w:tc>
        <w:tc>
          <w:tcPr>
            <w:tcW w:w="4261" w:type="dxa"/>
          </w:tcPr>
          <w:p w14:paraId="6AEABE56">
            <w:r>
              <w:rPr>
                <w:rFonts w:hint="eastAsia" w:asciiTheme="minorEastAsia" w:hAnsiTheme="minorEastAsia"/>
              </w:rPr>
              <w:t>7.4.2 急诊隔离区的空调系统宜独立设置，其回风</w:t>
            </w:r>
            <w:r>
              <w:rPr>
                <w:rFonts w:hint="eastAsia" w:asciiTheme="minorEastAsia" w:hAnsiTheme="minorEastAsia"/>
                <w:u w:val="single"/>
              </w:rPr>
              <w:t>口的设置应符合本规范7.1.11条的规定</w:t>
            </w:r>
            <w:r>
              <w:rPr>
                <w:rFonts w:hint="eastAsia" w:asciiTheme="minorEastAsia" w:hAnsiTheme="minorEastAsia"/>
              </w:rPr>
              <w:t>，并应有</w:t>
            </w:r>
            <w:r>
              <w:rPr>
                <w:rFonts w:hint="eastAsia" w:asciiTheme="minorEastAsia" w:hAnsiTheme="minorEastAsia"/>
                <w:u w:val="single"/>
              </w:rPr>
              <w:t>符合本规范7.1.14条规定的</w:t>
            </w:r>
            <w:r>
              <w:rPr>
                <w:rFonts w:hint="eastAsia" w:asciiTheme="minorEastAsia" w:hAnsiTheme="minorEastAsia"/>
              </w:rPr>
              <w:t>排风系统。当与其他诊室为同一空调系统时，应单独排</w:t>
            </w:r>
            <w:r>
              <w:rPr>
                <w:rFonts w:hint="eastAsia" w:asciiTheme="minorEastAsia" w:hAnsiTheme="minorEastAsia"/>
                <w:u w:val="single"/>
              </w:rPr>
              <w:t>风</w:t>
            </w:r>
            <w:r>
              <w:rPr>
                <w:rFonts w:hint="eastAsia" w:asciiTheme="minorEastAsia" w:hAnsiTheme="minorEastAsia"/>
              </w:rPr>
              <w:t>，不应系统回风，与相邻并相通的区域应保持不小于5Pa的负压。</w:t>
            </w:r>
          </w:p>
        </w:tc>
      </w:tr>
      <w:tr w14:paraId="196D6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BDE2268"/>
        </w:tc>
        <w:tc>
          <w:tcPr>
            <w:tcW w:w="4261" w:type="dxa"/>
          </w:tcPr>
          <w:p w14:paraId="23DABC0F">
            <w:r>
              <w:rPr>
                <w:rFonts w:hint="eastAsia" w:asciiTheme="minorEastAsia" w:hAnsiTheme="minorEastAsia"/>
                <w:u w:val="single"/>
              </w:rPr>
              <w:t>7.4.3 抢救室、输液室等病原微生物污染风险较高的区域，宜采用全新风空调系统。</w:t>
            </w:r>
          </w:p>
        </w:tc>
      </w:tr>
      <w:tr w14:paraId="28B99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44F5F82">
            <w:pPr>
              <w:jc w:val="center"/>
              <w:rPr>
                <w:rFonts w:asciiTheme="minorEastAsia" w:hAnsiTheme="minorEastAsia"/>
              </w:rPr>
            </w:pPr>
            <w:bookmarkStart w:id="40" w:name="_Toc85880762"/>
            <w:r>
              <w:rPr>
                <w:rFonts w:hint="eastAsia" w:asciiTheme="minorEastAsia" w:hAnsiTheme="minorEastAsia"/>
              </w:rPr>
              <w:t>7.5 住院部</w:t>
            </w:r>
            <w:bookmarkEnd w:id="40"/>
          </w:p>
        </w:tc>
        <w:tc>
          <w:tcPr>
            <w:tcW w:w="4261" w:type="dxa"/>
          </w:tcPr>
          <w:p w14:paraId="440FAF01">
            <w:pPr>
              <w:jc w:val="center"/>
              <w:rPr>
                <w:rFonts w:asciiTheme="minorEastAsia" w:hAnsiTheme="minorEastAsia"/>
              </w:rPr>
            </w:pPr>
            <w:r>
              <w:rPr>
                <w:rFonts w:hint="eastAsia" w:asciiTheme="minorEastAsia" w:hAnsiTheme="minorEastAsia"/>
              </w:rPr>
              <w:t>7.5 住院部</w:t>
            </w:r>
          </w:p>
        </w:tc>
      </w:tr>
      <w:tr w14:paraId="58688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3BE1323">
            <w:pPr>
              <w:rPr>
                <w:rFonts w:ascii="宋体" w:hAnsi="宋体" w:eastAsia="宋体"/>
              </w:rPr>
            </w:pPr>
            <w:r>
              <w:rPr>
                <w:rFonts w:hint="eastAsia" w:ascii="宋体" w:hAnsi="宋体" w:eastAsia="宋体"/>
              </w:rPr>
              <w:t>7.5.3 监护病房应符合下列要求：</w:t>
            </w:r>
          </w:p>
          <w:p w14:paraId="5DF10CD1">
            <w:pPr>
              <w:ind w:firstLine="480" w:firstLineChars="200"/>
              <w:rPr>
                <w:rFonts w:ascii="宋体" w:hAnsi="宋体" w:eastAsia="宋体"/>
              </w:rPr>
            </w:pPr>
            <w:r>
              <w:rPr>
                <w:rFonts w:hint="eastAsia" w:ascii="宋体" w:hAnsi="宋体" w:eastAsia="宋体"/>
              </w:rPr>
              <w:t>1 温度在冬季不宜低于24℃，夏季不宜高于27℃。</w:t>
            </w:r>
          </w:p>
          <w:p w14:paraId="0385855F">
            <w:pPr>
              <w:ind w:firstLine="480" w:firstLineChars="200"/>
              <w:rPr>
                <w:rFonts w:ascii="宋体" w:hAnsi="宋体" w:eastAsia="宋体"/>
              </w:rPr>
            </w:pPr>
            <w:r>
              <w:rPr>
                <w:rFonts w:hint="eastAsia" w:ascii="宋体" w:hAnsi="宋体" w:eastAsia="宋体"/>
              </w:rPr>
              <w:t>2</w:t>
            </w:r>
            <w:r>
              <w:rPr>
                <w:rFonts w:ascii="宋体" w:hAnsi="宋体" w:eastAsia="宋体"/>
              </w:rPr>
              <w:t xml:space="preserve"> </w:t>
            </w:r>
            <w:r>
              <w:rPr>
                <w:rFonts w:hint="eastAsia" w:ascii="宋体" w:hAnsi="宋体" w:eastAsia="宋体"/>
              </w:rPr>
              <w:t>采用普通空调系统时，宜采用连续运行，并应符合本规范第7.1.10条和第7.1.11条的规定，相对湿度宜为40％～65％。噪声不应大于45dB(A)，</w:t>
            </w:r>
            <w:r>
              <w:rPr>
                <w:rFonts w:hint="eastAsia" w:ascii="宋体" w:hAnsi="宋体" w:eastAsia="宋体"/>
                <w:bdr w:val="single" w:color="auto" w:sz="4" w:space="0"/>
              </w:rPr>
              <w:t>宜采用上送下回的气流组织，</w:t>
            </w:r>
            <w:r>
              <w:rPr>
                <w:rFonts w:hint="eastAsia" w:ascii="宋体" w:hAnsi="宋体" w:eastAsia="宋体"/>
              </w:rPr>
              <w:t>送风气流不宜直接吹向头部。每张病床均不应处于其他病床的下风侧。排风（或回风）口应设在床头</w:t>
            </w:r>
            <w:r>
              <w:rPr>
                <w:rFonts w:hint="eastAsia" w:ascii="宋体" w:hAnsi="宋体" w:eastAsia="宋体"/>
                <w:bdr w:val="single" w:color="auto" w:sz="4" w:space="0"/>
              </w:rPr>
              <w:t>附近</w:t>
            </w:r>
            <w:r>
              <w:rPr>
                <w:rFonts w:hint="eastAsia" w:ascii="宋体" w:hAnsi="宋体" w:eastAsia="宋体"/>
              </w:rPr>
              <w:t>。</w:t>
            </w:r>
          </w:p>
          <w:p w14:paraId="345A4004">
            <w:pPr>
              <w:ind w:firstLine="480" w:firstLineChars="200"/>
            </w:pPr>
            <w:r>
              <w:rPr>
                <w:rFonts w:hint="eastAsia" w:ascii="宋体" w:hAnsi="宋体" w:eastAsia="宋体"/>
              </w:rPr>
              <w:t>3 采用洁净用房的宜用Ⅳ级标准设计，宜设置独立的净化空调系统，病房对走廊或走廊对外界宜维持不小于5Pa的正压。</w:t>
            </w:r>
          </w:p>
        </w:tc>
        <w:tc>
          <w:tcPr>
            <w:tcW w:w="4261" w:type="dxa"/>
          </w:tcPr>
          <w:p w14:paraId="05569D44">
            <w:pPr>
              <w:rPr>
                <w:rFonts w:ascii="宋体" w:hAnsi="宋体" w:eastAsia="宋体"/>
              </w:rPr>
            </w:pPr>
            <w:r>
              <w:rPr>
                <w:rFonts w:hint="eastAsia" w:ascii="宋体" w:hAnsi="宋体" w:eastAsia="宋体"/>
              </w:rPr>
              <w:t>7.5.3 监护病房</w:t>
            </w:r>
            <w:r>
              <w:rPr>
                <w:rFonts w:hint="eastAsia" w:ascii="宋体" w:hAnsi="宋体" w:eastAsia="宋体"/>
                <w:u w:val="single"/>
              </w:rPr>
              <w:t>（ICU）</w:t>
            </w:r>
            <w:r>
              <w:rPr>
                <w:rFonts w:hint="eastAsia" w:ascii="宋体" w:hAnsi="宋体" w:eastAsia="宋体"/>
              </w:rPr>
              <w:t>应符合下列要求：</w:t>
            </w:r>
          </w:p>
          <w:p w14:paraId="66DBFBF0">
            <w:pPr>
              <w:ind w:firstLine="480" w:firstLineChars="200"/>
              <w:rPr>
                <w:rFonts w:ascii="宋体" w:hAnsi="宋体" w:eastAsia="宋体"/>
              </w:rPr>
            </w:pPr>
            <w:r>
              <w:rPr>
                <w:rFonts w:hint="eastAsia" w:ascii="宋体" w:hAnsi="宋体" w:eastAsia="宋体"/>
              </w:rPr>
              <w:t>1 温度在冬季不宜低于24℃，夏季不宜高于27℃。</w:t>
            </w:r>
          </w:p>
          <w:p w14:paraId="205D15E8">
            <w:pPr>
              <w:ind w:firstLine="480" w:firstLineChars="200"/>
              <w:rPr>
                <w:rFonts w:ascii="宋体" w:hAnsi="宋体" w:eastAsia="宋体"/>
              </w:rPr>
            </w:pPr>
            <w:r>
              <w:rPr>
                <w:rFonts w:hint="eastAsia" w:ascii="宋体" w:hAnsi="宋体" w:eastAsia="宋体"/>
              </w:rPr>
              <w:t xml:space="preserve">2 </w:t>
            </w:r>
            <w:r>
              <w:rPr>
                <w:rFonts w:hint="eastAsia" w:ascii="宋体" w:hAnsi="宋体" w:eastAsia="宋体"/>
                <w:u w:val="single"/>
              </w:rPr>
              <w:t>既有监护病房</w:t>
            </w:r>
            <w:r>
              <w:rPr>
                <w:rFonts w:hint="eastAsia" w:ascii="宋体" w:hAnsi="宋体" w:eastAsia="宋体"/>
              </w:rPr>
              <w:t>采用普通空调系统时，</w:t>
            </w:r>
            <w:r>
              <w:rPr>
                <w:rFonts w:hint="eastAsia" w:ascii="宋体" w:hAnsi="宋体" w:eastAsia="宋体"/>
                <w:u w:val="single"/>
              </w:rPr>
              <w:t>空调机组</w:t>
            </w:r>
            <w:r>
              <w:rPr>
                <w:rFonts w:hint="eastAsia" w:ascii="宋体" w:hAnsi="宋体" w:eastAsia="宋体"/>
              </w:rPr>
              <w:t>宜采用连续运行，并应符合本规范第7.1.10条和第7.1.11条的规定，相对湿度宜为40％～65％。噪声不应大于45dB(A)，送风气流不宜直接吹向头部。每张病床均不应处于其他病床的下风侧。排风（或回风）口应设在床头</w:t>
            </w:r>
            <w:r>
              <w:rPr>
                <w:rFonts w:hint="eastAsia" w:ascii="宋体" w:hAnsi="宋体" w:eastAsia="宋体"/>
                <w:u w:val="single"/>
              </w:rPr>
              <w:t>侧</w:t>
            </w:r>
            <w:r>
              <w:rPr>
                <w:rFonts w:hint="eastAsia" w:ascii="宋体" w:hAnsi="宋体" w:eastAsia="宋体"/>
              </w:rPr>
              <w:t>。</w:t>
            </w:r>
          </w:p>
          <w:p w14:paraId="2E1E3874">
            <w:pPr>
              <w:ind w:firstLine="480" w:firstLineChars="200"/>
            </w:pPr>
            <w:r>
              <w:rPr>
                <w:rFonts w:hint="eastAsia" w:ascii="宋体" w:hAnsi="宋体" w:eastAsia="宋体"/>
              </w:rPr>
              <w:t>3 采用洁净用房的宜用Ⅳ级标准设计，宜设置独立的净化空调系统，</w:t>
            </w:r>
            <w:r>
              <w:rPr>
                <w:rFonts w:hint="eastAsia" w:ascii="宋体" w:hAnsi="宋体" w:eastAsia="宋体"/>
                <w:u w:val="single"/>
              </w:rPr>
              <w:t>也可采用风机盘管机组上送上回，并应符合本规范7.1.11条的规定。</w:t>
            </w:r>
            <w:r>
              <w:rPr>
                <w:rFonts w:hint="eastAsia" w:ascii="宋体" w:hAnsi="宋体" w:eastAsia="宋体"/>
              </w:rPr>
              <w:t>病房对走廊或走廊对外界宜维持不小于5Pa的正压。</w:t>
            </w:r>
          </w:p>
        </w:tc>
      </w:tr>
      <w:tr w14:paraId="0206C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CD42EF2">
            <w:pPr>
              <w:rPr>
                <w:rFonts w:ascii="宋体" w:hAnsi="宋体" w:eastAsia="宋体"/>
              </w:rPr>
            </w:pPr>
            <w:r>
              <w:rPr>
                <w:rFonts w:hint="eastAsia" w:ascii="宋体" w:hAnsi="宋体" w:eastAsia="宋体"/>
              </w:rPr>
              <w:t>7.5.4 血液病房应符合下列要求：</w:t>
            </w:r>
          </w:p>
          <w:p w14:paraId="3319CD29">
            <w:pPr>
              <w:ind w:firstLine="480" w:firstLineChars="200"/>
              <w:rPr>
                <w:rFonts w:ascii="宋体" w:hAnsi="宋体" w:eastAsia="宋体"/>
              </w:rPr>
            </w:pPr>
            <w:r>
              <w:rPr>
                <w:rFonts w:hint="eastAsia" w:ascii="宋体" w:hAnsi="宋体" w:eastAsia="宋体"/>
              </w:rPr>
              <w:t>1 治疗期血液病房应选用Ⅰ级洁净用房，恢复期血液病房宜选用不低于Ⅱ级洁净用房。应采用上送下回的气流组织方式。Ⅰ级病房</w:t>
            </w:r>
            <w:r>
              <w:rPr>
                <w:rFonts w:hint="eastAsia" w:ascii="宋体" w:hAnsi="宋体" w:eastAsia="宋体"/>
                <w:bdr w:val="single" w:color="auto" w:sz="4" w:space="0"/>
              </w:rPr>
              <w:t>应</w:t>
            </w:r>
            <w:r>
              <w:rPr>
                <w:rFonts w:hint="eastAsia" w:ascii="宋体" w:hAnsi="宋体" w:eastAsia="宋体"/>
              </w:rPr>
              <w:t>在包括病床在内的患者活动区域上方设置垂直单向流，其送风口</w:t>
            </w:r>
            <w:r>
              <w:rPr>
                <w:rFonts w:hint="eastAsia" w:ascii="宋体" w:hAnsi="宋体" w:eastAsia="宋体"/>
                <w:bdr w:val="single" w:color="auto" w:sz="4" w:space="0"/>
              </w:rPr>
              <w:t>面积不应小于6m²</w:t>
            </w:r>
            <w:r>
              <w:rPr>
                <w:rFonts w:hint="eastAsia" w:ascii="宋体" w:hAnsi="宋体" w:eastAsia="宋体"/>
              </w:rPr>
              <w:t>，并</w:t>
            </w:r>
            <w:r>
              <w:rPr>
                <w:rFonts w:hint="eastAsia" w:ascii="宋体" w:hAnsi="宋体" w:eastAsia="宋体"/>
                <w:bdr w:val="single" w:color="auto" w:sz="4" w:space="0"/>
              </w:rPr>
              <w:t>应</w:t>
            </w:r>
            <w:r>
              <w:rPr>
                <w:rFonts w:hint="eastAsia" w:ascii="宋体" w:hAnsi="宋体" w:eastAsia="宋体"/>
              </w:rPr>
              <w:t>采用两侧下回风的气流组织。如采用水平单向流，患者活动区应布置在气流上游，床头应在送风侧。</w:t>
            </w:r>
          </w:p>
          <w:p w14:paraId="7FE0702A">
            <w:pPr>
              <w:ind w:firstLine="480" w:firstLineChars="200"/>
              <w:rPr>
                <w:rFonts w:ascii="宋体" w:hAnsi="宋体" w:eastAsia="宋体"/>
              </w:rPr>
            </w:pPr>
            <w:r>
              <w:rPr>
                <w:rFonts w:hint="eastAsia" w:ascii="宋体" w:hAnsi="宋体" w:eastAsia="宋体"/>
              </w:rPr>
              <w:t>2 各病房的净化空调系统应采用独立的双风机并联，互为备用，24h运行。</w:t>
            </w:r>
          </w:p>
          <w:p w14:paraId="603BE607">
            <w:pPr>
              <w:ind w:firstLine="480" w:firstLineChars="200"/>
              <w:rPr>
                <w:rFonts w:ascii="宋体" w:hAnsi="宋体" w:eastAsia="宋体"/>
              </w:rPr>
            </w:pPr>
            <w:r>
              <w:rPr>
                <w:rFonts w:hint="eastAsia" w:ascii="宋体" w:hAnsi="宋体" w:eastAsia="宋体"/>
              </w:rPr>
              <w:t>3 送风应采用调速装置，应至少设两档风速。患者活动或进行治疗时，工作区截面风速不应低于0.20m/s，患者休息时不应低于0.12m/s。室内温度冬季不宜低于22℃，相对湿度不宜低于45％。夏季不宜高于27℃，相对湿度不宜高于60％。噪声应小于45dB(A)。</w:t>
            </w:r>
          </w:p>
          <w:p w14:paraId="74F49499">
            <w:pPr>
              <w:ind w:firstLine="480" w:firstLineChars="200"/>
            </w:pPr>
            <w:r>
              <w:rPr>
                <w:rFonts w:hint="eastAsia" w:ascii="宋体" w:hAnsi="宋体" w:eastAsia="宋体"/>
              </w:rPr>
              <w:t>4 与相邻并相通房间应保持5Pa的正压。</w:t>
            </w:r>
          </w:p>
        </w:tc>
        <w:tc>
          <w:tcPr>
            <w:tcW w:w="4261" w:type="dxa"/>
          </w:tcPr>
          <w:p w14:paraId="65F5ADA9">
            <w:pPr>
              <w:rPr>
                <w:rFonts w:ascii="宋体" w:hAnsi="宋体" w:eastAsia="宋体"/>
              </w:rPr>
            </w:pPr>
            <w:r>
              <w:rPr>
                <w:rFonts w:hint="eastAsia" w:ascii="宋体" w:hAnsi="宋体" w:eastAsia="宋体"/>
              </w:rPr>
              <w:t>7.5.4 血液病房应符合下列要求：</w:t>
            </w:r>
          </w:p>
          <w:p w14:paraId="1D1424CF">
            <w:pPr>
              <w:ind w:firstLine="480" w:firstLineChars="200"/>
              <w:rPr>
                <w:rFonts w:ascii="宋体" w:hAnsi="宋体" w:eastAsia="宋体"/>
              </w:rPr>
            </w:pPr>
            <w:r>
              <w:rPr>
                <w:rFonts w:hint="eastAsia" w:ascii="宋体" w:hAnsi="宋体" w:eastAsia="宋体"/>
              </w:rPr>
              <w:t>1 治疗期血液病房应选用Ⅰ级洁净用房，恢复期血液病房宜选用不低于Ⅱ级洁净用房。应采用上送下回的气流组织方式。Ⅰ级病房</w:t>
            </w:r>
            <w:r>
              <w:rPr>
                <w:rFonts w:hint="eastAsia" w:ascii="宋体" w:hAnsi="宋体" w:eastAsia="宋体"/>
                <w:u w:val="single"/>
              </w:rPr>
              <w:t>宜</w:t>
            </w:r>
            <w:r>
              <w:rPr>
                <w:rFonts w:hint="eastAsia" w:ascii="宋体" w:hAnsi="宋体" w:eastAsia="宋体"/>
              </w:rPr>
              <w:t>在包括病床在内的患者活动区域上方设置垂直单向流，其送风口</w:t>
            </w:r>
            <w:r>
              <w:rPr>
                <w:rFonts w:hint="eastAsia" w:ascii="宋体" w:hAnsi="宋体" w:eastAsia="宋体"/>
                <w:u w:val="single"/>
              </w:rPr>
              <w:t>每边应比床边（靠墙时除外）超出不小于0.4m</w:t>
            </w:r>
            <w:r>
              <w:rPr>
                <w:rFonts w:hint="eastAsia" w:ascii="宋体" w:hAnsi="宋体" w:eastAsia="宋体"/>
              </w:rPr>
              <w:t>，并采用两侧下回风的气流组织。如采用水平单向流，患者活动区应布置在气流上游，床头应在送风侧。</w:t>
            </w:r>
          </w:p>
          <w:p w14:paraId="28D4C8B5">
            <w:pPr>
              <w:ind w:firstLine="480" w:firstLineChars="200"/>
              <w:rPr>
                <w:rFonts w:ascii="宋体" w:hAnsi="宋体" w:eastAsia="宋体"/>
              </w:rPr>
            </w:pPr>
            <w:r>
              <w:rPr>
                <w:rFonts w:hint="eastAsia" w:ascii="宋体" w:hAnsi="宋体" w:eastAsia="宋体"/>
              </w:rPr>
              <w:t>2 各病房的净化空调系统应采用独立的双风机并联，互为备用，24h运行。</w:t>
            </w:r>
          </w:p>
          <w:p w14:paraId="06248161">
            <w:pPr>
              <w:ind w:firstLine="480" w:firstLineChars="200"/>
              <w:rPr>
                <w:rFonts w:ascii="宋体" w:hAnsi="宋体" w:eastAsia="宋体"/>
              </w:rPr>
            </w:pPr>
            <w:r>
              <w:rPr>
                <w:rFonts w:hint="eastAsia" w:ascii="宋体" w:hAnsi="宋体" w:eastAsia="宋体"/>
              </w:rPr>
              <w:t>3 送风应采用调速装置，应至少设两档风速。患者活动或进行治疗时，工作区截面风速不应低于0.20m/s，患者休息时不应低于0.12m/s。室内温度冬季不宜低于22℃，相对湿度不宜低于45％。夏季不宜高于27℃，相对湿度不宜高于60％。噪声应小于45dB(A)。</w:t>
            </w:r>
          </w:p>
          <w:p w14:paraId="41840D80">
            <w:pPr>
              <w:ind w:firstLine="480" w:firstLineChars="200"/>
            </w:pPr>
            <w:r>
              <w:rPr>
                <w:rFonts w:hint="eastAsia" w:ascii="宋体" w:hAnsi="宋体" w:eastAsia="宋体"/>
              </w:rPr>
              <w:t>4 与相邻并相通房间应保持5Pa的正压。</w:t>
            </w:r>
          </w:p>
        </w:tc>
      </w:tr>
      <w:tr w14:paraId="2FE71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93C6C61">
            <w:pPr>
              <w:rPr>
                <w:rFonts w:ascii="宋体" w:hAnsi="宋体" w:eastAsia="宋体"/>
              </w:rPr>
            </w:pPr>
            <w:r>
              <w:rPr>
                <w:rFonts w:hint="eastAsia" w:ascii="宋体" w:hAnsi="宋体" w:eastAsia="宋体"/>
              </w:rPr>
              <w:t>7.5.5 烧伤病房应根据需要，确定是否选用洁净用房。采用洁净用房应符合下列要求：</w:t>
            </w:r>
          </w:p>
          <w:p w14:paraId="7E16A31F">
            <w:pPr>
              <w:ind w:firstLine="480" w:firstLineChars="200"/>
              <w:rPr>
                <w:rFonts w:ascii="宋体" w:hAnsi="宋体" w:eastAsia="宋体"/>
              </w:rPr>
            </w:pPr>
            <w:r>
              <w:rPr>
                <w:rFonts w:hint="eastAsia" w:ascii="宋体" w:hAnsi="宋体" w:eastAsia="宋体"/>
              </w:rPr>
              <w:t>1 重度（含）以上烧伤患者的病房应采用在病床上方集中布置送风风口，送风面积应为病床外的四条周边各延</w:t>
            </w:r>
            <w:r>
              <w:rPr>
                <w:rFonts w:hint="eastAsia" w:ascii="宋体" w:hAnsi="宋体" w:eastAsia="宋体"/>
                <w:bdr w:val="single" w:color="auto" w:sz="4" w:space="0"/>
              </w:rPr>
              <w:t>30</w:t>
            </w:r>
            <w:r>
              <w:rPr>
                <w:rFonts w:hint="eastAsia" w:ascii="宋体" w:hAnsi="宋体" w:eastAsia="宋体"/>
              </w:rPr>
              <w:t>cm或以上，并应按Ⅲ级洁净用房换气次数计算，有特殊需要时可按Ⅱ级洁净用房换气次数计算。其辅助用房和重度以下烧伤患者的病房可分散设置送风口，宜按Ⅳ级洁净用房换气次数计算。</w:t>
            </w:r>
          </w:p>
          <w:p w14:paraId="457CE3F5">
            <w:pPr>
              <w:ind w:firstLine="480" w:firstLineChars="200"/>
              <w:rPr>
                <w:rFonts w:ascii="宋体" w:hAnsi="宋体" w:eastAsia="宋体"/>
              </w:rPr>
            </w:pPr>
            <w:r>
              <w:rPr>
                <w:rFonts w:hint="eastAsia" w:ascii="宋体" w:hAnsi="宋体" w:eastAsia="宋体"/>
              </w:rPr>
              <w:t>2 各病房净化空调系统应设置备用送风机，并应确保24h不间断运行。应能根据治疗过程要求调节温度、湿度。</w:t>
            </w:r>
          </w:p>
          <w:p w14:paraId="6342060B">
            <w:pPr>
              <w:ind w:firstLine="480" w:firstLineChars="200"/>
              <w:rPr>
                <w:rFonts w:ascii="宋体" w:hAnsi="宋体" w:eastAsia="宋体"/>
              </w:rPr>
            </w:pPr>
            <w:r>
              <w:rPr>
                <w:rFonts w:hint="eastAsia" w:ascii="宋体" w:hAnsi="宋体" w:eastAsia="宋体"/>
              </w:rPr>
              <w:t>3 对于多床一室的Ⅳ级烧伤病房，每张病床均不应处于其他病床的下风侧。温度全年宜为24℃～26℃，相对温度冬季不宜低于40％，夏季不宜高于60％。室内温湿度可按治疗进程要求进行调节。</w:t>
            </w:r>
          </w:p>
          <w:p w14:paraId="76EEBE3E">
            <w:pPr>
              <w:ind w:firstLine="480" w:firstLineChars="200"/>
              <w:rPr>
                <w:rFonts w:ascii="宋体" w:hAnsi="宋体" w:eastAsia="宋体"/>
              </w:rPr>
            </w:pPr>
            <w:r>
              <w:rPr>
                <w:rFonts w:hint="eastAsia" w:ascii="宋体" w:hAnsi="宋体" w:eastAsia="宋体"/>
              </w:rPr>
              <w:t>4 重度（含）以上烧伤患者的病房宜设独立空调系统，室内温湿度可按治疗进程要求进行调节。温度最高可调至32℃，湿度最高可调至90％。</w:t>
            </w:r>
          </w:p>
          <w:p w14:paraId="40054018">
            <w:pPr>
              <w:ind w:firstLine="480" w:firstLineChars="200"/>
              <w:rPr>
                <w:rFonts w:ascii="宋体" w:hAnsi="宋体" w:eastAsia="宋体"/>
              </w:rPr>
            </w:pPr>
            <w:r>
              <w:rPr>
                <w:rFonts w:hint="eastAsia" w:ascii="宋体" w:hAnsi="宋体" w:eastAsia="宋体"/>
              </w:rPr>
              <w:t>5 与相邻并相通房间应保持5Pa的正压。</w:t>
            </w:r>
          </w:p>
          <w:p w14:paraId="24789E08">
            <w:pPr>
              <w:ind w:firstLine="480" w:firstLineChars="200"/>
              <w:rPr>
                <w:rFonts w:ascii="宋体" w:hAnsi="宋体" w:eastAsia="宋体"/>
              </w:rPr>
            </w:pPr>
            <w:r>
              <w:rPr>
                <w:rFonts w:hint="eastAsia" w:ascii="宋体" w:hAnsi="宋体" w:eastAsia="宋体"/>
              </w:rPr>
              <w:t>6 病区内的浴室、卫生间应设置排风装置，同时应设置与排风机相连锁的密闭风阀。</w:t>
            </w:r>
          </w:p>
          <w:p w14:paraId="42534D0E">
            <w:pPr>
              <w:ind w:firstLine="480" w:firstLineChars="200"/>
            </w:pPr>
            <w:r>
              <w:rPr>
                <w:rFonts w:hint="eastAsia" w:ascii="宋体" w:hAnsi="宋体" w:eastAsia="宋体"/>
              </w:rPr>
              <w:t>7 病房噪声不应大于45dB(A)。</w:t>
            </w:r>
          </w:p>
        </w:tc>
        <w:tc>
          <w:tcPr>
            <w:tcW w:w="4261" w:type="dxa"/>
          </w:tcPr>
          <w:p w14:paraId="10BFFC1D">
            <w:pPr>
              <w:rPr>
                <w:rFonts w:ascii="宋体" w:hAnsi="宋体" w:eastAsia="宋体"/>
              </w:rPr>
            </w:pPr>
            <w:r>
              <w:rPr>
                <w:rFonts w:hint="eastAsia" w:ascii="宋体" w:hAnsi="宋体" w:eastAsia="宋体"/>
              </w:rPr>
              <w:t>7.5.5 烧伤病房应根据需要，确定是否选用洁净用房。采用洁净用房</w:t>
            </w:r>
            <w:r>
              <w:rPr>
                <w:rFonts w:hint="eastAsia" w:ascii="宋体" w:hAnsi="宋体" w:eastAsia="宋体"/>
                <w:u w:val="single"/>
              </w:rPr>
              <w:t>时，</w:t>
            </w:r>
            <w:r>
              <w:rPr>
                <w:rFonts w:hint="eastAsia" w:ascii="宋体" w:hAnsi="宋体" w:eastAsia="宋体"/>
              </w:rPr>
              <w:t>应符合下列要求：</w:t>
            </w:r>
          </w:p>
          <w:p w14:paraId="303798D6">
            <w:pPr>
              <w:ind w:firstLine="480" w:firstLineChars="200"/>
              <w:rPr>
                <w:rFonts w:ascii="宋体" w:hAnsi="宋体" w:eastAsia="宋体"/>
              </w:rPr>
            </w:pPr>
            <w:r>
              <w:rPr>
                <w:rFonts w:hint="eastAsia" w:ascii="宋体" w:hAnsi="宋体" w:eastAsia="宋体"/>
              </w:rPr>
              <w:t>1 重度（含）以上烧伤患者的病房应采用在病床上方集中布置送风风口，送风面积应为病床外的四条周边</w:t>
            </w:r>
            <w:r>
              <w:rPr>
                <w:rFonts w:hint="eastAsia" w:ascii="宋体" w:hAnsi="宋体" w:eastAsia="宋体"/>
                <w:u w:val="single"/>
              </w:rPr>
              <w:t>（靠墙时除外）</w:t>
            </w:r>
            <w:r>
              <w:rPr>
                <w:rFonts w:hint="eastAsia" w:ascii="宋体" w:hAnsi="宋体" w:eastAsia="宋体"/>
              </w:rPr>
              <w:t>各延</w:t>
            </w:r>
            <w:r>
              <w:rPr>
                <w:rFonts w:hint="eastAsia" w:ascii="宋体" w:hAnsi="宋体" w:eastAsia="宋体"/>
                <w:u w:val="single"/>
              </w:rPr>
              <w:t>10</w:t>
            </w:r>
            <w:r>
              <w:rPr>
                <w:rFonts w:hint="eastAsia" w:ascii="宋体" w:hAnsi="宋体" w:eastAsia="宋体"/>
              </w:rPr>
              <w:t>cm或以上，并应按Ⅲ级洁净用房换气次数计算，有特殊需要时可按Ⅱ级洁净用房换气次数计算。其辅助用房和重度以下烧伤患者的病房可分散设置送风口，宜按Ⅳ级洁净用房换气次数计算。</w:t>
            </w:r>
          </w:p>
          <w:p w14:paraId="5FEF1B56">
            <w:pPr>
              <w:ind w:firstLine="480" w:firstLineChars="200"/>
              <w:rPr>
                <w:rFonts w:ascii="宋体" w:hAnsi="宋体" w:eastAsia="宋体"/>
              </w:rPr>
            </w:pPr>
            <w:r>
              <w:rPr>
                <w:rFonts w:hint="eastAsia" w:ascii="宋体" w:hAnsi="宋体" w:eastAsia="宋体"/>
              </w:rPr>
              <w:t>2 各病房净化空调系统应设置备用送风机，并应确保24h不间断运行。应能根据治疗过程要求调节温度、湿度。</w:t>
            </w:r>
          </w:p>
          <w:p w14:paraId="72F8AB06">
            <w:pPr>
              <w:ind w:firstLine="480" w:firstLineChars="200"/>
              <w:rPr>
                <w:rFonts w:ascii="宋体" w:hAnsi="宋体" w:eastAsia="宋体"/>
              </w:rPr>
            </w:pPr>
            <w:r>
              <w:rPr>
                <w:rFonts w:hint="eastAsia" w:ascii="宋体" w:hAnsi="宋体" w:eastAsia="宋体"/>
              </w:rPr>
              <w:t>3 对于多床一室的Ⅳ级烧伤病房，每张病床均不应处于其他病床的下风侧。温度全年宜为24℃～26℃，相对温度冬季不宜低于40％，夏季不宜高于60％。室内温湿度可按治疗进程要求进行调节。</w:t>
            </w:r>
          </w:p>
          <w:p w14:paraId="48C5FDE4">
            <w:pPr>
              <w:ind w:firstLine="480" w:firstLineChars="200"/>
              <w:rPr>
                <w:rFonts w:ascii="宋体" w:hAnsi="宋体" w:eastAsia="宋体"/>
              </w:rPr>
            </w:pPr>
            <w:r>
              <w:rPr>
                <w:rFonts w:hint="eastAsia" w:ascii="宋体" w:hAnsi="宋体" w:eastAsia="宋体"/>
              </w:rPr>
              <w:t>4 重度（含）以上烧伤患者的病房宜设独立空调系统，室内温湿度可按治疗进程要求进行调节。温度最高可调至32℃，湿度最高可调至90％。</w:t>
            </w:r>
          </w:p>
          <w:p w14:paraId="6EA9DF47">
            <w:pPr>
              <w:ind w:firstLine="480" w:firstLineChars="200"/>
              <w:rPr>
                <w:rFonts w:ascii="宋体" w:hAnsi="宋体" w:eastAsia="宋体"/>
              </w:rPr>
            </w:pPr>
            <w:r>
              <w:rPr>
                <w:rFonts w:hint="eastAsia" w:ascii="宋体" w:hAnsi="宋体" w:eastAsia="宋体"/>
              </w:rPr>
              <w:t>5 与相邻并相通房间应保持5Pa的正压。</w:t>
            </w:r>
          </w:p>
          <w:p w14:paraId="05E7A3A1">
            <w:pPr>
              <w:ind w:firstLine="480" w:firstLineChars="200"/>
              <w:rPr>
                <w:rFonts w:ascii="宋体" w:hAnsi="宋体" w:eastAsia="宋体"/>
              </w:rPr>
            </w:pPr>
            <w:r>
              <w:rPr>
                <w:rFonts w:hint="eastAsia" w:ascii="宋体" w:hAnsi="宋体" w:eastAsia="宋体"/>
              </w:rPr>
              <w:t>6 病区内的浴室、卫生间应设置排风装置，同时应设置与排风机相连锁的密闭风阀。</w:t>
            </w:r>
          </w:p>
          <w:p w14:paraId="227CFC48">
            <w:pPr>
              <w:ind w:firstLine="480" w:firstLineChars="200"/>
            </w:pPr>
            <w:r>
              <w:rPr>
                <w:rFonts w:hint="eastAsia" w:ascii="宋体" w:hAnsi="宋体" w:eastAsia="宋体"/>
              </w:rPr>
              <w:t>7 病房噪声不应大于45dB(A)。</w:t>
            </w:r>
          </w:p>
        </w:tc>
      </w:tr>
      <w:tr w14:paraId="04AC1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E7A713D">
            <w:pPr>
              <w:rPr>
                <w:rFonts w:ascii="宋体" w:hAnsi="宋体" w:eastAsia="宋体"/>
                <w:bCs/>
              </w:rPr>
            </w:pPr>
            <w:r>
              <w:rPr>
                <w:rFonts w:hint="eastAsia" w:ascii="宋体" w:hAnsi="宋体" w:eastAsia="宋体"/>
                <w:bCs/>
              </w:rPr>
              <w:t>7.5.7 解剖室、标本制作室、太平间应符合下列要求：</w:t>
            </w:r>
          </w:p>
          <w:p w14:paraId="4A5702AF">
            <w:pPr>
              <w:ind w:firstLine="480" w:firstLineChars="200"/>
              <w:rPr>
                <w:rFonts w:ascii="宋体" w:hAnsi="宋体" w:eastAsia="宋体" w:cs="宋体"/>
                <w:bCs/>
              </w:rPr>
            </w:pPr>
            <w:r>
              <w:rPr>
                <w:rFonts w:hint="eastAsia" w:ascii="宋体" w:hAnsi="宋体" w:eastAsia="宋体" w:cs="宋体"/>
                <w:bCs/>
              </w:rPr>
              <w:t>1 非传染病尸体解剖室、标本制作室应进行充分的通风换气，应采用专用解剖台或在室内均匀布置下排风口，排风应直接排到室外；</w:t>
            </w:r>
          </w:p>
          <w:p w14:paraId="070EBF08">
            <w:pPr>
              <w:ind w:firstLine="480" w:firstLineChars="200"/>
              <w:rPr>
                <w:rFonts w:ascii="宋体" w:hAnsi="宋体" w:eastAsia="宋体" w:cs="宋体"/>
                <w:bCs/>
              </w:rPr>
            </w:pPr>
            <w:r>
              <w:rPr>
                <w:rFonts w:hint="eastAsia" w:ascii="宋体" w:hAnsi="宋体" w:eastAsia="宋体" w:cs="宋体"/>
                <w:bCs/>
              </w:rPr>
              <w:t>2 解剖室的空调应采用全新风独立系统，可配合采用专用排风解剖台；</w:t>
            </w:r>
          </w:p>
          <w:p w14:paraId="5BC34602">
            <w:pPr>
              <w:ind w:firstLine="480" w:firstLineChars="200"/>
              <w:rPr>
                <w:rFonts w:ascii="宋体" w:hAnsi="宋体" w:eastAsia="宋体" w:cs="宋体"/>
                <w:bCs/>
              </w:rPr>
            </w:pPr>
            <w:r>
              <w:rPr>
                <w:rFonts w:hint="eastAsia" w:ascii="宋体" w:hAnsi="宋体" w:eastAsia="宋体" w:cs="宋体"/>
                <w:bCs/>
              </w:rPr>
              <w:t>3 当标本制作室和保管室为同一空调系统时，应能根据各室的温度条件独立控制；</w:t>
            </w:r>
          </w:p>
          <w:p w14:paraId="6D61AC17">
            <w:pPr>
              <w:ind w:firstLine="480" w:firstLineChars="200"/>
            </w:pPr>
            <w:r>
              <w:rPr>
                <w:rFonts w:hint="eastAsia" w:ascii="宋体" w:hAnsi="宋体" w:eastAsia="宋体" w:cs="宋体"/>
                <w:bCs/>
              </w:rPr>
              <w:t>4 太平间应有足够的通风。</w:t>
            </w:r>
            <w:r>
              <w:rPr>
                <w:rFonts w:hint="eastAsia" w:ascii="宋体" w:hAnsi="宋体" w:eastAsia="宋体" w:cs="宋体"/>
                <w:bCs/>
                <w:bdr w:val="single" w:color="auto" w:sz="4" w:space="0"/>
              </w:rPr>
              <w:t>设机械排风时应维持负压。</w:t>
            </w:r>
          </w:p>
        </w:tc>
        <w:tc>
          <w:tcPr>
            <w:tcW w:w="4261" w:type="dxa"/>
          </w:tcPr>
          <w:p w14:paraId="5713E7BD">
            <w:pPr>
              <w:rPr>
                <w:rFonts w:ascii="宋体" w:hAnsi="宋体" w:eastAsia="宋体"/>
                <w:bCs/>
              </w:rPr>
            </w:pPr>
            <w:r>
              <w:rPr>
                <w:rFonts w:hint="eastAsia" w:ascii="宋体" w:hAnsi="宋体" w:eastAsia="宋体"/>
                <w:bCs/>
              </w:rPr>
              <w:t>7.5.7 解剖室、标本制作室、太平间应符合下列要求：</w:t>
            </w:r>
          </w:p>
          <w:p w14:paraId="31AE2164">
            <w:pPr>
              <w:ind w:firstLine="480" w:firstLineChars="200"/>
              <w:rPr>
                <w:rFonts w:ascii="宋体" w:hAnsi="宋体" w:eastAsia="宋体" w:cs="宋体"/>
                <w:bCs/>
              </w:rPr>
            </w:pPr>
            <w:r>
              <w:rPr>
                <w:rFonts w:hint="eastAsia" w:ascii="宋体" w:hAnsi="宋体" w:eastAsia="宋体" w:cs="宋体"/>
                <w:bCs/>
              </w:rPr>
              <w:t>1 非传染病尸体解剖室、标本制作室应进行充分的通风换气，</w:t>
            </w:r>
            <w:r>
              <w:rPr>
                <w:rFonts w:hint="eastAsia" w:ascii="宋体" w:hAnsi="宋体" w:eastAsia="宋体" w:cs="宋体"/>
                <w:bCs/>
                <w:u w:val="single"/>
              </w:rPr>
              <w:t>换气次数不宜低于10次/h，</w:t>
            </w:r>
            <w:r>
              <w:rPr>
                <w:rFonts w:hint="eastAsia" w:ascii="宋体" w:hAnsi="宋体" w:eastAsia="宋体" w:cs="宋体"/>
                <w:bCs/>
              </w:rPr>
              <w:t>应采用专用解剖台或在室内均匀布置下排风口，排风应直接排到室外；</w:t>
            </w:r>
          </w:p>
          <w:p w14:paraId="0043CA1B">
            <w:pPr>
              <w:ind w:firstLine="480" w:firstLineChars="200"/>
              <w:rPr>
                <w:rFonts w:ascii="宋体" w:hAnsi="宋体" w:eastAsia="宋体" w:cs="宋体"/>
                <w:bCs/>
              </w:rPr>
            </w:pPr>
            <w:r>
              <w:rPr>
                <w:rFonts w:hint="eastAsia" w:ascii="宋体" w:hAnsi="宋体" w:eastAsia="宋体" w:cs="宋体"/>
                <w:bCs/>
              </w:rPr>
              <w:t>2 解剖室的空调应采用全新风独立系统，可配合采用专用排风解剖台；</w:t>
            </w:r>
          </w:p>
          <w:p w14:paraId="43AD19F1">
            <w:pPr>
              <w:ind w:firstLine="480" w:firstLineChars="200"/>
              <w:rPr>
                <w:rFonts w:ascii="宋体" w:hAnsi="宋体" w:eastAsia="宋体" w:cs="宋体"/>
                <w:bCs/>
              </w:rPr>
            </w:pPr>
            <w:r>
              <w:rPr>
                <w:rFonts w:hint="eastAsia" w:ascii="宋体" w:hAnsi="宋体" w:eastAsia="宋体" w:cs="宋体"/>
                <w:bCs/>
              </w:rPr>
              <w:t>3 当标本制作室和保管室为同一空调系统时，应能根据各室的温度条件独立控制；</w:t>
            </w:r>
          </w:p>
          <w:p w14:paraId="62C90BDD">
            <w:pPr>
              <w:ind w:firstLine="480" w:firstLineChars="200"/>
              <w:rPr>
                <w:rFonts w:ascii="宋体" w:hAnsi="宋体" w:eastAsia="宋体" w:cs="宋体"/>
                <w:bCs/>
                <w:bdr w:val="single" w:color="auto" w:sz="4" w:space="0"/>
              </w:rPr>
            </w:pPr>
            <w:r>
              <w:rPr>
                <w:rFonts w:hint="eastAsia" w:ascii="宋体" w:hAnsi="宋体" w:eastAsia="宋体" w:cs="宋体"/>
                <w:bCs/>
              </w:rPr>
              <w:t>4 太平间应有足够的通风。</w:t>
            </w:r>
          </w:p>
          <w:p w14:paraId="55D9194A">
            <w:pPr>
              <w:ind w:firstLine="480" w:firstLineChars="200"/>
            </w:pPr>
            <w:r>
              <w:rPr>
                <w:rFonts w:hint="eastAsia" w:ascii="宋体" w:hAnsi="宋体" w:eastAsia="宋体" w:cs="宋体"/>
                <w:bCs/>
                <w:u w:val="single"/>
              </w:rPr>
              <w:t xml:space="preserve">5 </w:t>
            </w:r>
            <w:r>
              <w:rPr>
                <w:rFonts w:hint="eastAsia" w:ascii="宋体" w:hAnsi="宋体" w:eastAsia="宋体"/>
                <w:bCs/>
                <w:u w:val="single"/>
              </w:rPr>
              <w:t>解剖室、标本制作室、太平间宜维持负压。</w:t>
            </w:r>
          </w:p>
        </w:tc>
      </w:tr>
      <w:tr w14:paraId="27686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9EDD324">
            <w:pPr>
              <w:rPr>
                <w:rFonts w:ascii="宋体" w:hAnsi="宋体" w:eastAsia="宋体"/>
                <w:bCs/>
              </w:rPr>
            </w:pPr>
            <w:r>
              <w:rPr>
                <w:rFonts w:hint="eastAsia" w:ascii="宋体" w:hAnsi="宋体" w:eastAsia="宋体"/>
                <w:bCs/>
              </w:rPr>
              <w:t>7.5.8 负压隔离病房应符合下列要求：</w:t>
            </w:r>
          </w:p>
          <w:p w14:paraId="13C9EBB1">
            <w:pPr>
              <w:ind w:firstLine="480" w:firstLineChars="200"/>
              <w:rPr>
                <w:rFonts w:ascii="宋体" w:hAnsi="宋体" w:eastAsia="宋体" w:cs="宋体"/>
                <w:bCs/>
              </w:rPr>
            </w:pPr>
            <w:r>
              <w:rPr>
                <w:rFonts w:hint="eastAsia" w:ascii="宋体" w:hAnsi="宋体" w:eastAsia="宋体" w:cs="宋体"/>
                <w:bCs/>
              </w:rPr>
              <w:t>1 应采用自循环空调系统，换气次数10次/h～12次/h，新风可集中供给。空气传染的</w:t>
            </w:r>
            <w:r>
              <w:rPr>
                <w:rFonts w:hint="eastAsia" w:ascii="宋体" w:hAnsi="宋体" w:eastAsia="宋体" w:cs="宋体"/>
                <w:bCs/>
                <w:bdr w:val="single" w:color="auto" w:sz="4" w:space="0"/>
              </w:rPr>
              <w:t>特殊</w:t>
            </w:r>
            <w:r>
              <w:rPr>
                <w:rFonts w:hint="eastAsia" w:ascii="宋体" w:hAnsi="宋体" w:eastAsia="宋体" w:cs="宋体"/>
                <w:bCs/>
              </w:rPr>
              <w:t>呼吸道患者的病房应采用全新风系统。</w:t>
            </w:r>
          </w:p>
          <w:p w14:paraId="44639016">
            <w:pPr>
              <w:ind w:firstLine="480" w:firstLineChars="200"/>
              <w:rPr>
                <w:rFonts w:ascii="宋体" w:hAnsi="宋体" w:eastAsia="宋体" w:cs="宋体"/>
                <w:bCs/>
              </w:rPr>
            </w:pPr>
            <w:r>
              <w:rPr>
                <w:rFonts w:hint="eastAsia" w:ascii="宋体" w:hAnsi="宋体" w:eastAsia="宋体" w:cs="宋体"/>
                <w:bCs/>
              </w:rPr>
              <w:t>2 送风的末级过滤器宜用高中效过滤器，回（排）风口应设无泄漏</w:t>
            </w:r>
            <w:r>
              <w:rPr>
                <w:rFonts w:hint="eastAsia" w:ascii="宋体" w:hAnsi="宋体" w:eastAsia="宋体" w:cs="宋体"/>
                <w:bCs/>
                <w:bdr w:val="single" w:color="auto" w:sz="4" w:space="0"/>
              </w:rPr>
              <w:t>的</w:t>
            </w:r>
            <w:r>
              <w:rPr>
                <w:rFonts w:hint="eastAsia" w:ascii="宋体" w:hAnsi="宋体" w:eastAsia="宋体" w:cs="宋体"/>
                <w:bCs/>
              </w:rPr>
              <w:t>负压高效排风装置。</w:t>
            </w:r>
          </w:p>
          <w:p w14:paraId="3A9B6AF8">
            <w:pPr>
              <w:ind w:firstLine="480" w:firstLineChars="200"/>
              <w:rPr>
                <w:rFonts w:ascii="宋体" w:hAnsi="宋体" w:eastAsia="宋体" w:cs="宋体"/>
                <w:bCs/>
              </w:rPr>
            </w:pPr>
            <w:r>
              <w:rPr>
                <w:rFonts w:hint="eastAsia" w:ascii="宋体" w:hAnsi="宋体" w:eastAsia="宋体" w:cs="宋体"/>
                <w:bCs/>
              </w:rPr>
              <w:t>3 宜在床尾或床侧及床尾各设一送风口，回风口宜设在床头侧下方。</w:t>
            </w:r>
          </w:p>
          <w:p w14:paraId="776370CD">
            <w:pPr>
              <w:ind w:firstLine="480" w:firstLineChars="200"/>
              <w:rPr>
                <w:rFonts w:ascii="宋体" w:hAnsi="宋体" w:eastAsia="宋体" w:cs="宋体"/>
                <w:bCs/>
              </w:rPr>
            </w:pPr>
            <w:r>
              <w:rPr>
                <w:rFonts w:hint="eastAsia" w:ascii="宋体" w:hAnsi="宋体" w:eastAsia="宋体" w:cs="宋体"/>
                <w:bCs/>
              </w:rPr>
              <w:t>4 病房入口应设缓冲室，病区走廊入口宜设缓冲室，卫生间内应设无泄漏的负压高效排风装置。</w:t>
            </w:r>
          </w:p>
          <w:p w14:paraId="3CEB57F7">
            <w:pPr>
              <w:ind w:firstLine="480" w:firstLineChars="200"/>
            </w:pPr>
            <w:r>
              <w:rPr>
                <w:rFonts w:hint="eastAsia" w:ascii="宋体" w:hAnsi="宋体" w:eastAsia="宋体" w:cs="宋体"/>
                <w:bCs/>
              </w:rPr>
              <w:t>5 病房对缓冲间、缓冲间对走廊应保持5Pa负压差，病房内应向卫生间保持定向流。</w:t>
            </w:r>
          </w:p>
        </w:tc>
        <w:tc>
          <w:tcPr>
            <w:tcW w:w="4261" w:type="dxa"/>
          </w:tcPr>
          <w:p w14:paraId="2B9A835C">
            <w:pPr>
              <w:rPr>
                <w:rFonts w:ascii="宋体" w:hAnsi="宋体" w:eastAsia="宋体"/>
                <w:bCs/>
              </w:rPr>
            </w:pPr>
            <w:r>
              <w:rPr>
                <w:rFonts w:hint="eastAsia" w:ascii="宋体" w:hAnsi="宋体" w:eastAsia="宋体"/>
                <w:bCs/>
              </w:rPr>
              <w:t>7.5.8 负压隔离病房应符合下列要求：</w:t>
            </w:r>
          </w:p>
          <w:p w14:paraId="61AE3816">
            <w:pPr>
              <w:ind w:firstLine="480" w:firstLineChars="200"/>
              <w:rPr>
                <w:rFonts w:ascii="宋体" w:hAnsi="宋体" w:eastAsia="宋体" w:cs="宋体"/>
                <w:bCs/>
              </w:rPr>
            </w:pPr>
            <w:r>
              <w:rPr>
                <w:rFonts w:hint="eastAsia" w:ascii="宋体" w:hAnsi="宋体" w:eastAsia="宋体" w:cs="宋体"/>
                <w:bCs/>
              </w:rPr>
              <w:t>1 应采用自循环空调系统，换气次数10次/h～12次/h，新风可集中供给。空气传染的</w:t>
            </w:r>
            <w:r>
              <w:rPr>
                <w:rFonts w:hint="eastAsia" w:ascii="宋体" w:hAnsi="宋体" w:eastAsia="宋体" w:cs="宋体"/>
                <w:bCs/>
                <w:u w:val="single"/>
              </w:rPr>
              <w:t>危重症</w:t>
            </w:r>
            <w:r>
              <w:rPr>
                <w:rFonts w:hint="eastAsia" w:ascii="宋体" w:hAnsi="宋体" w:eastAsia="宋体" w:cs="宋体"/>
                <w:bCs/>
              </w:rPr>
              <w:t>呼吸道患者的病房应采用全新风系统。</w:t>
            </w:r>
          </w:p>
          <w:p w14:paraId="73AA91C2">
            <w:pPr>
              <w:ind w:firstLine="480" w:firstLineChars="200"/>
              <w:rPr>
                <w:rFonts w:ascii="宋体" w:hAnsi="宋体" w:eastAsia="宋体" w:cs="宋体"/>
                <w:bCs/>
              </w:rPr>
            </w:pPr>
            <w:r>
              <w:rPr>
                <w:rFonts w:hint="eastAsia" w:ascii="宋体" w:hAnsi="宋体" w:eastAsia="宋体" w:cs="宋体"/>
                <w:bCs/>
              </w:rPr>
              <w:t>2 送风的末级过滤器宜用高中效过滤器，回（排）风口应设</w:t>
            </w:r>
            <w:r>
              <w:rPr>
                <w:rFonts w:hint="eastAsia" w:ascii="宋体" w:hAnsi="宋体" w:eastAsia="宋体" w:cs="宋体"/>
                <w:bCs/>
                <w:u w:val="single"/>
              </w:rPr>
              <w:t>动态气流密封的</w:t>
            </w:r>
            <w:r>
              <w:rPr>
                <w:rFonts w:hint="eastAsia" w:ascii="宋体" w:hAnsi="宋体" w:eastAsia="宋体" w:cs="宋体"/>
                <w:bCs/>
              </w:rPr>
              <w:t>无泄漏负压高效排风装置。</w:t>
            </w:r>
          </w:p>
          <w:p w14:paraId="71A6C3A6">
            <w:pPr>
              <w:ind w:firstLine="480" w:firstLineChars="200"/>
              <w:rPr>
                <w:rFonts w:ascii="宋体" w:hAnsi="宋体" w:eastAsia="宋体" w:cs="宋体"/>
                <w:bCs/>
              </w:rPr>
            </w:pPr>
            <w:r>
              <w:rPr>
                <w:rFonts w:hint="eastAsia" w:ascii="宋体" w:hAnsi="宋体" w:eastAsia="宋体" w:cs="宋体"/>
                <w:bCs/>
              </w:rPr>
              <w:t>3 宜在床尾或床侧及床尾各设一送风口，回风口宜设在床头侧下方。</w:t>
            </w:r>
          </w:p>
          <w:p w14:paraId="25ACA108">
            <w:pPr>
              <w:ind w:firstLine="480" w:firstLineChars="200"/>
              <w:rPr>
                <w:rFonts w:ascii="宋体" w:hAnsi="宋体" w:eastAsia="宋体" w:cs="宋体"/>
                <w:bCs/>
              </w:rPr>
            </w:pPr>
            <w:r>
              <w:rPr>
                <w:rFonts w:hint="eastAsia" w:ascii="宋体" w:hAnsi="宋体" w:eastAsia="宋体" w:cs="宋体"/>
                <w:bCs/>
              </w:rPr>
              <w:t>4 病房入口应设缓冲室，病区走廊入口宜设缓冲室，卫生间内应设无泄漏的负压高效排风装置。</w:t>
            </w:r>
          </w:p>
          <w:p w14:paraId="6AAA6EC5">
            <w:pPr>
              <w:ind w:firstLine="480" w:firstLineChars="200"/>
            </w:pPr>
            <w:r>
              <w:rPr>
                <w:rFonts w:hint="eastAsia" w:ascii="宋体" w:hAnsi="宋体" w:eastAsia="宋体" w:cs="宋体"/>
                <w:bCs/>
              </w:rPr>
              <w:t>5 病房对缓冲间、缓冲间对走廊应保持5Pa负压差，病房内应向卫生间保持定向流。</w:t>
            </w:r>
          </w:p>
        </w:tc>
      </w:tr>
      <w:tr w14:paraId="002BB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AE8CE33">
            <w:pPr>
              <w:jc w:val="center"/>
              <w:rPr>
                <w:rFonts w:asciiTheme="minorEastAsia" w:hAnsiTheme="minorEastAsia"/>
              </w:rPr>
            </w:pPr>
            <w:bookmarkStart w:id="41" w:name="_Toc85880763"/>
            <w:r>
              <w:rPr>
                <w:rFonts w:hint="eastAsia" w:asciiTheme="minorEastAsia" w:hAnsiTheme="minorEastAsia"/>
              </w:rPr>
              <w:t>7.6 手术部</w:t>
            </w:r>
            <w:bookmarkEnd w:id="41"/>
          </w:p>
        </w:tc>
        <w:tc>
          <w:tcPr>
            <w:tcW w:w="4261" w:type="dxa"/>
          </w:tcPr>
          <w:p w14:paraId="003B5B57">
            <w:pPr>
              <w:jc w:val="center"/>
              <w:rPr>
                <w:rFonts w:asciiTheme="minorEastAsia" w:hAnsiTheme="minorEastAsia"/>
              </w:rPr>
            </w:pPr>
            <w:r>
              <w:rPr>
                <w:rFonts w:hint="eastAsia" w:asciiTheme="minorEastAsia" w:hAnsiTheme="minorEastAsia"/>
              </w:rPr>
              <w:t>7.6 手术部</w:t>
            </w:r>
          </w:p>
        </w:tc>
      </w:tr>
      <w:tr w14:paraId="250BA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969A883">
            <w:r>
              <w:rPr>
                <w:rFonts w:hint="eastAsia" w:asciiTheme="minorEastAsia" w:hAnsiTheme="minorEastAsia"/>
                <w:bCs/>
              </w:rPr>
              <w:t>7.6.1 洁净手术部设计，应符合现行国家标准《医院洁净手术部建筑技术规范》GB50333的有关规定。</w:t>
            </w:r>
          </w:p>
        </w:tc>
        <w:tc>
          <w:tcPr>
            <w:tcW w:w="4261" w:type="dxa"/>
          </w:tcPr>
          <w:p w14:paraId="557282AB">
            <w:r>
              <w:rPr>
                <w:rFonts w:hint="eastAsia" w:asciiTheme="minorEastAsia" w:hAnsiTheme="minorEastAsia"/>
                <w:bCs/>
              </w:rPr>
              <w:t>7.6.1 洁净手术部设计，应符合现行国家标准《医院洁净手术部建筑技术规范》GB50333的有关规定</w:t>
            </w:r>
            <w:r>
              <w:rPr>
                <w:rFonts w:hint="eastAsia" w:asciiTheme="minorEastAsia" w:hAnsiTheme="minorEastAsia"/>
                <w:u w:val="single"/>
              </w:rPr>
              <w:t>；普通手术室设计，室内环境应符合《医院消毒卫生标准》</w:t>
            </w:r>
            <w:r>
              <w:rPr>
                <w:rFonts w:asciiTheme="minorEastAsia" w:hAnsiTheme="minorEastAsia"/>
                <w:u w:val="single"/>
              </w:rPr>
              <w:t>GB15982</w:t>
            </w:r>
            <w:r>
              <w:rPr>
                <w:rFonts w:hint="eastAsia" w:asciiTheme="minorEastAsia" w:hAnsiTheme="minorEastAsia"/>
                <w:u w:val="single"/>
              </w:rPr>
              <w:t>的有关规定</w:t>
            </w:r>
            <w:r>
              <w:rPr>
                <w:rFonts w:hint="eastAsia" w:asciiTheme="minorEastAsia" w:hAnsiTheme="minorEastAsia"/>
                <w:bCs/>
              </w:rPr>
              <w:t>。</w:t>
            </w:r>
          </w:p>
        </w:tc>
      </w:tr>
      <w:tr w14:paraId="5C6AC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BFF91C8">
            <w:r>
              <w:rPr>
                <w:rFonts w:hint="eastAsia" w:asciiTheme="minorEastAsia" w:hAnsiTheme="minorEastAsia"/>
                <w:bCs/>
              </w:rPr>
              <w:t>7.6.2</w:t>
            </w:r>
            <w:r>
              <w:rPr>
                <w:rFonts w:asciiTheme="minorEastAsia" w:hAnsiTheme="minorEastAsia"/>
                <w:bCs/>
              </w:rPr>
              <w:t xml:space="preserve"> </w:t>
            </w:r>
            <w:r>
              <w:rPr>
                <w:rFonts w:hint="eastAsia" w:asciiTheme="minorEastAsia" w:hAnsiTheme="minorEastAsia"/>
                <w:bCs/>
              </w:rPr>
              <w:t>一般手术室室内温度冬季不宜低于20℃，夏季不宜高于26℃；室内相对湿度冬季不宜低于30％，夏季不宜高于65％；应采用</w:t>
            </w:r>
            <w:r>
              <w:rPr>
                <w:rFonts w:hint="eastAsia" w:asciiTheme="minorEastAsia" w:hAnsiTheme="minorEastAsia"/>
                <w:bCs/>
                <w:bdr w:val="single" w:color="auto" w:sz="4" w:space="0"/>
              </w:rPr>
              <w:t>末端</w:t>
            </w:r>
            <w:r>
              <w:rPr>
                <w:rFonts w:hint="eastAsia" w:asciiTheme="minorEastAsia" w:hAnsiTheme="minorEastAsia"/>
                <w:bCs/>
              </w:rPr>
              <w:t>过滤器效率不低于高中效过滤器的空调系统或全新风通风系统。室内应保持正压，换气次数不得低于6次/h。噪声不应大于50dB(A)。</w:t>
            </w:r>
          </w:p>
        </w:tc>
        <w:tc>
          <w:tcPr>
            <w:tcW w:w="4261" w:type="dxa"/>
          </w:tcPr>
          <w:p w14:paraId="268877DB">
            <w:r>
              <w:rPr>
                <w:rFonts w:hint="eastAsia" w:asciiTheme="minorEastAsia" w:hAnsiTheme="minorEastAsia"/>
                <w:bCs/>
              </w:rPr>
              <w:t xml:space="preserve">7.6.2 </w:t>
            </w:r>
            <w:r>
              <w:rPr>
                <w:rFonts w:hint="eastAsia" w:asciiTheme="minorEastAsia" w:hAnsiTheme="minorEastAsia"/>
                <w:bCs/>
                <w:u w:val="single"/>
              </w:rPr>
              <w:t>既有</w:t>
            </w:r>
            <w:r>
              <w:rPr>
                <w:rFonts w:hint="eastAsia" w:asciiTheme="minorEastAsia" w:hAnsiTheme="minorEastAsia"/>
                <w:bCs/>
              </w:rPr>
              <w:t>一般手术室室内温度冬季不宜低于20℃，夏季不宜高于26℃；室内相对湿度冬季不宜低于30％，夏季不宜高于65％；应</w:t>
            </w:r>
            <w:r>
              <w:rPr>
                <w:rFonts w:hint="eastAsia" w:asciiTheme="minorEastAsia" w:hAnsiTheme="minorEastAsia"/>
                <w:bCs/>
                <w:u w:val="single"/>
              </w:rPr>
              <w:t>在送风口</w:t>
            </w:r>
            <w:r>
              <w:rPr>
                <w:rFonts w:hint="eastAsia" w:asciiTheme="minorEastAsia" w:hAnsiTheme="minorEastAsia"/>
                <w:bCs/>
              </w:rPr>
              <w:t>采用过滤器效率不低于高中效过滤器的</w:t>
            </w:r>
            <w:r>
              <w:rPr>
                <w:rFonts w:hint="eastAsia" w:asciiTheme="minorEastAsia" w:hAnsiTheme="minorEastAsia"/>
                <w:bCs/>
                <w:u w:val="single"/>
              </w:rPr>
              <w:t>上送下回</w:t>
            </w:r>
            <w:r>
              <w:rPr>
                <w:rFonts w:hint="eastAsia" w:asciiTheme="minorEastAsia" w:hAnsiTheme="minorEastAsia"/>
                <w:bCs/>
              </w:rPr>
              <w:t>空调系统或全新风通风系统。室内</w:t>
            </w:r>
            <w:r>
              <w:rPr>
                <w:rFonts w:hint="eastAsia" w:asciiTheme="minorEastAsia" w:hAnsiTheme="minorEastAsia"/>
                <w:bCs/>
                <w:u w:val="single"/>
              </w:rPr>
              <w:t>不应有局部气流干扰定向流，</w:t>
            </w:r>
            <w:r>
              <w:rPr>
                <w:rFonts w:hint="eastAsia" w:asciiTheme="minorEastAsia" w:hAnsiTheme="minorEastAsia"/>
                <w:bCs/>
              </w:rPr>
              <w:t>应保持正压，换气次数不得低于6次/h。噪声不应大于50dB(A)。</w:t>
            </w:r>
          </w:p>
        </w:tc>
      </w:tr>
      <w:tr w14:paraId="745AA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D439BF">
            <w:pPr>
              <w:jc w:val="center"/>
              <w:rPr>
                <w:rFonts w:asciiTheme="minorEastAsia" w:hAnsiTheme="minorEastAsia"/>
              </w:rPr>
            </w:pPr>
            <w:bookmarkStart w:id="42" w:name="_Toc85880764"/>
            <w:r>
              <w:rPr>
                <w:rFonts w:hint="eastAsia" w:asciiTheme="minorEastAsia" w:hAnsiTheme="minorEastAsia"/>
              </w:rPr>
              <w:t>7.7 医技科室</w:t>
            </w:r>
            <w:bookmarkEnd w:id="42"/>
          </w:p>
        </w:tc>
        <w:tc>
          <w:tcPr>
            <w:tcW w:w="4261" w:type="dxa"/>
          </w:tcPr>
          <w:p w14:paraId="73B7FC65">
            <w:pPr>
              <w:jc w:val="center"/>
              <w:rPr>
                <w:rFonts w:asciiTheme="minorEastAsia" w:hAnsiTheme="minorEastAsia"/>
              </w:rPr>
            </w:pPr>
            <w:r>
              <w:rPr>
                <w:rFonts w:hint="eastAsia" w:asciiTheme="minorEastAsia" w:hAnsiTheme="minorEastAsia"/>
              </w:rPr>
              <w:t>7.7 医技科室</w:t>
            </w:r>
          </w:p>
        </w:tc>
      </w:tr>
      <w:tr w14:paraId="1E89A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55EE9932">
            <w:pPr>
              <w:rPr>
                <w:rFonts w:ascii="宋体" w:hAnsi="宋体" w:eastAsia="宋体"/>
              </w:rPr>
            </w:pPr>
            <w:r>
              <w:rPr>
                <w:rFonts w:hint="eastAsia" w:ascii="宋体" w:hAnsi="宋体" w:eastAsia="宋体"/>
              </w:rPr>
              <w:t>7.7.1 检验科、病理科</w:t>
            </w:r>
            <w:r>
              <w:rPr>
                <w:rFonts w:hint="eastAsia" w:ascii="宋体" w:hAnsi="宋体" w:eastAsia="宋体"/>
                <w:bdr w:val="single" w:color="auto" w:sz="4" w:space="0"/>
              </w:rPr>
              <w:t>、</w:t>
            </w:r>
            <w:r>
              <w:rPr>
                <w:rFonts w:hint="eastAsia" w:ascii="宋体" w:hAnsi="宋体" w:eastAsia="宋体"/>
              </w:rPr>
              <w:t>实验室应符合下列要求：</w:t>
            </w:r>
          </w:p>
          <w:p w14:paraId="3D77FBD7">
            <w:pPr>
              <w:ind w:firstLine="480" w:firstLineChars="200"/>
              <w:rPr>
                <w:rFonts w:ascii="宋体" w:hAnsi="宋体" w:eastAsia="宋体"/>
              </w:rPr>
            </w:pPr>
            <w:r>
              <w:rPr>
                <w:rFonts w:hint="eastAsia" w:ascii="宋体" w:hAnsi="宋体" w:eastAsia="宋体"/>
              </w:rPr>
              <w:t>1 应有单独排风系统；</w:t>
            </w:r>
          </w:p>
          <w:p w14:paraId="3F05376E">
            <w:pPr>
              <w:ind w:firstLine="480" w:firstLineChars="200"/>
            </w:pPr>
            <w:r>
              <w:rPr>
                <w:rFonts w:hint="eastAsia" w:ascii="宋体" w:hAnsi="宋体" w:eastAsia="宋体"/>
              </w:rPr>
              <w:t>2 采用普通空调时，室内温度冬季不宜低于22℃，夏季不宜高于26℃；室内相对湿度冬季不宜低于30％，夏季不宜高于65％。</w:t>
            </w:r>
          </w:p>
        </w:tc>
        <w:tc>
          <w:tcPr>
            <w:tcW w:w="4261" w:type="dxa"/>
          </w:tcPr>
          <w:p w14:paraId="462C4603">
            <w:pPr>
              <w:rPr>
                <w:rFonts w:ascii="宋体" w:hAnsi="宋体" w:eastAsia="宋体"/>
              </w:rPr>
            </w:pPr>
            <w:r>
              <w:rPr>
                <w:rFonts w:hint="eastAsia" w:ascii="宋体" w:hAnsi="宋体" w:eastAsia="宋体"/>
              </w:rPr>
              <w:t>7.7.1 检验科、病理科实验室应符合下列要求：</w:t>
            </w:r>
          </w:p>
          <w:p w14:paraId="2B86ACC5">
            <w:pPr>
              <w:ind w:firstLine="480" w:firstLineChars="200"/>
              <w:rPr>
                <w:rFonts w:ascii="宋体" w:hAnsi="宋体" w:eastAsia="宋体"/>
              </w:rPr>
            </w:pPr>
            <w:r>
              <w:rPr>
                <w:rFonts w:hint="eastAsia" w:ascii="宋体" w:hAnsi="宋体" w:eastAsia="宋体"/>
              </w:rPr>
              <w:t>1 应有单独排风系统；</w:t>
            </w:r>
          </w:p>
          <w:p w14:paraId="689EC693">
            <w:pPr>
              <w:ind w:firstLine="480" w:firstLineChars="200"/>
              <w:rPr>
                <w:rFonts w:ascii="宋体" w:hAnsi="宋体" w:eastAsia="宋体"/>
              </w:rPr>
            </w:pPr>
            <w:r>
              <w:rPr>
                <w:rFonts w:hint="eastAsia" w:ascii="宋体" w:hAnsi="宋体" w:eastAsia="宋体"/>
              </w:rPr>
              <w:t>2 采用普通空调时，室内温度冬季不宜低于22℃，夏季不宜高于26℃；室内相对湿度冬季不宜低于30％，夏季不宜高于65％。</w:t>
            </w:r>
          </w:p>
          <w:p w14:paraId="2E34DA68">
            <w:pPr>
              <w:ind w:firstLine="480" w:firstLineChars="200"/>
              <w:rPr>
                <w:rFonts w:ascii="宋体" w:hAnsi="宋体" w:eastAsia="宋体"/>
                <w:u w:val="single"/>
              </w:rPr>
            </w:pPr>
            <w:r>
              <w:rPr>
                <w:rFonts w:hint="eastAsia" w:ascii="宋体" w:hAnsi="宋体" w:eastAsia="宋体"/>
                <w:u w:val="single"/>
              </w:rPr>
              <w:t>3 涉及高危险性挥发物质或气体产生时，应在风险评估的基础上，配备适当的负压排风柜，排风机应设置在排风管路末端，室外排风应达到环保要求。</w:t>
            </w:r>
          </w:p>
          <w:p w14:paraId="3CAB9BED">
            <w:pPr>
              <w:ind w:firstLine="480" w:firstLineChars="200"/>
            </w:pPr>
            <w:r>
              <w:rPr>
                <w:rFonts w:hint="eastAsia" w:ascii="宋体" w:hAnsi="宋体" w:eastAsia="宋体"/>
                <w:u w:val="single"/>
              </w:rPr>
              <w:t>4 应在操作病原微生物样本的实验间内配备生物安全柜，在生物安全柜操作面或其他有气溶胶操作地点的上方附近不应设送风口。</w:t>
            </w:r>
          </w:p>
        </w:tc>
      </w:tr>
      <w:tr w14:paraId="2A1A4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2A26606"/>
        </w:tc>
        <w:tc>
          <w:tcPr>
            <w:tcW w:w="4261" w:type="dxa"/>
          </w:tcPr>
          <w:p w14:paraId="4B30CC4C">
            <w:r>
              <w:rPr>
                <w:rFonts w:hint="eastAsia" w:asciiTheme="minorEastAsia" w:hAnsiTheme="minorEastAsia"/>
                <w:u w:val="single"/>
              </w:rPr>
              <w:t>7.7.1A</w:t>
            </w:r>
            <w:r>
              <w:rPr>
                <w:rFonts w:asciiTheme="minorEastAsia" w:hAnsiTheme="minorEastAsia"/>
                <w:u w:val="single"/>
              </w:rPr>
              <w:t xml:space="preserve"> </w:t>
            </w:r>
            <w:r>
              <w:rPr>
                <w:rFonts w:hint="eastAsia" w:asciiTheme="minorEastAsia" w:hAnsiTheme="minorEastAsia"/>
                <w:u w:val="single"/>
              </w:rPr>
              <w:t>设置生物安全柜采用机械通风的实验室，室内气流组织应符合定向流原则，应有利于室内气流由被污染风险低的空间向被污染风险高的空间流动，最大限度减少室内回流与涡流。必要时，采用全新风直流式空调通风系统。</w:t>
            </w:r>
          </w:p>
        </w:tc>
      </w:tr>
      <w:tr w14:paraId="48BD2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DA77C50"/>
        </w:tc>
        <w:tc>
          <w:tcPr>
            <w:tcW w:w="4261" w:type="dxa"/>
          </w:tcPr>
          <w:p w14:paraId="2D58F509">
            <w:r>
              <w:rPr>
                <w:rFonts w:hint="eastAsia" w:asciiTheme="minorEastAsia" w:hAnsiTheme="minorEastAsia"/>
                <w:u w:val="single"/>
              </w:rPr>
              <w:t>7.7.1B</w:t>
            </w:r>
            <w:r>
              <w:rPr>
                <w:rFonts w:asciiTheme="minorEastAsia" w:hAnsiTheme="minorEastAsia"/>
                <w:u w:val="single"/>
              </w:rPr>
              <w:t xml:space="preserve"> </w:t>
            </w:r>
            <w:r>
              <w:rPr>
                <w:rFonts w:hint="eastAsia" w:asciiTheme="minorEastAsia" w:hAnsiTheme="minorEastAsia"/>
                <w:u w:val="single"/>
              </w:rPr>
              <w:t>核酸检测实验室通风空调系统应保证各工作区的空气不产生交叉污染。样本制备区宜设置Ⅱ</w:t>
            </w:r>
            <w:r>
              <w:rPr>
                <w:rFonts w:asciiTheme="minorEastAsia" w:hAnsiTheme="minorEastAsia"/>
                <w:u w:val="single"/>
              </w:rPr>
              <w:t>A2</w:t>
            </w:r>
            <w:r>
              <w:rPr>
                <w:rFonts w:hint="eastAsia" w:asciiTheme="minorEastAsia" w:hAnsiTheme="minorEastAsia"/>
                <w:u w:val="single"/>
              </w:rPr>
              <w:t>型生物安全柜，当使用高危险有毒化学物质时应采用ⅡB2型生物安全柜。</w:t>
            </w:r>
          </w:p>
        </w:tc>
      </w:tr>
      <w:tr w14:paraId="7AF55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7C9D487">
            <w:r>
              <w:rPr>
                <w:rFonts w:hint="eastAsia" w:asciiTheme="minorEastAsia" w:hAnsiTheme="minorEastAsia"/>
                <w:bCs/>
              </w:rPr>
              <w:t>7.7.3 电生理、超声、纤维内</w:t>
            </w:r>
            <w:r>
              <w:rPr>
                <w:rFonts w:hint="eastAsia" w:asciiTheme="minorEastAsia" w:hAnsiTheme="minorEastAsia"/>
                <w:bCs/>
                <w:bdr w:val="single" w:color="auto" w:sz="4" w:space="0"/>
              </w:rPr>
              <w:t>窥</w:t>
            </w:r>
            <w:r>
              <w:rPr>
                <w:rFonts w:hint="eastAsia" w:asciiTheme="minorEastAsia" w:hAnsiTheme="minorEastAsia"/>
                <w:bCs/>
              </w:rPr>
              <w:t>镜等科室，宜设置独立的普通空调系统。</w:t>
            </w:r>
          </w:p>
        </w:tc>
        <w:tc>
          <w:tcPr>
            <w:tcW w:w="4261" w:type="dxa"/>
          </w:tcPr>
          <w:p w14:paraId="74EB1E46">
            <w:pPr>
              <w:rPr>
                <w:rFonts w:asciiTheme="minorEastAsia" w:hAnsiTheme="minorEastAsia"/>
                <w:bCs/>
                <w:u w:val="single"/>
              </w:rPr>
            </w:pPr>
            <w:r>
              <w:rPr>
                <w:rFonts w:hint="eastAsia" w:asciiTheme="minorEastAsia" w:hAnsiTheme="minorEastAsia"/>
                <w:bCs/>
              </w:rPr>
              <w:t>7.7.3 电生理、超声、纤维内镜等科室，宜设置独立的普通空调系统。</w:t>
            </w:r>
          </w:p>
        </w:tc>
      </w:tr>
      <w:tr w14:paraId="259C1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C0C58CA"/>
        </w:tc>
        <w:tc>
          <w:tcPr>
            <w:tcW w:w="4261" w:type="dxa"/>
          </w:tcPr>
          <w:p w14:paraId="20B6F32F">
            <w:r>
              <w:rPr>
                <w:rFonts w:hint="eastAsia" w:asciiTheme="minorEastAsia" w:hAnsiTheme="minorEastAsia"/>
                <w:bCs/>
                <w:u w:val="single"/>
              </w:rPr>
              <w:t>7.7.3A</w:t>
            </w:r>
            <w:r>
              <w:rPr>
                <w:rFonts w:asciiTheme="minorEastAsia" w:hAnsiTheme="minorEastAsia"/>
                <w:bCs/>
                <w:u w:val="single"/>
              </w:rPr>
              <w:t xml:space="preserve"> </w:t>
            </w:r>
            <w:r>
              <w:rPr>
                <w:rFonts w:hint="eastAsia" w:asciiTheme="minorEastAsia" w:hAnsiTheme="minorEastAsia"/>
                <w:bCs/>
                <w:u w:val="single"/>
              </w:rPr>
              <w:t>内镜清洗室宜采用全新风空调系统，室内气流组织宜采用上送风、下排风形式，房间换气次数不宜小于10次/h。</w:t>
            </w:r>
          </w:p>
        </w:tc>
      </w:tr>
      <w:tr w14:paraId="06B6A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FF4E837">
            <w:pPr>
              <w:rPr>
                <w:rFonts w:ascii="宋体" w:hAnsi="宋体" w:eastAsia="宋体"/>
              </w:rPr>
            </w:pPr>
            <w:r>
              <w:rPr>
                <w:rFonts w:hint="eastAsia" w:ascii="宋体" w:hAnsi="宋体" w:eastAsia="宋体"/>
              </w:rPr>
              <w:t>7.7.6 放射科的检查室、控制室和机械间的空调系统和排风系统应符合下列要求：</w:t>
            </w:r>
          </w:p>
          <w:p w14:paraId="217D862F">
            <w:pPr>
              <w:ind w:firstLine="480" w:firstLineChars="200"/>
              <w:rPr>
                <w:rFonts w:ascii="宋体" w:hAnsi="宋体" w:eastAsia="宋体"/>
              </w:rPr>
            </w:pPr>
            <w:r>
              <w:rPr>
                <w:rFonts w:hint="eastAsia" w:ascii="宋体" w:hAnsi="宋体" w:eastAsia="宋体"/>
              </w:rPr>
              <w:t>1 应根据设备需要选择空调系统。</w:t>
            </w:r>
          </w:p>
          <w:p w14:paraId="67918AD2">
            <w:pPr>
              <w:ind w:firstLine="480" w:firstLineChars="200"/>
              <w:rPr>
                <w:rFonts w:ascii="宋体" w:hAnsi="宋体" w:eastAsia="宋体"/>
              </w:rPr>
            </w:pPr>
            <w:r>
              <w:rPr>
                <w:rFonts w:hint="eastAsia" w:ascii="宋体" w:hAnsi="宋体" w:eastAsia="宋体"/>
              </w:rPr>
              <w:t>2 采用半集中式空调系统时，不应在机器上方设置任何风机盘管机组等末端装置及其凝水管。</w:t>
            </w:r>
          </w:p>
          <w:p w14:paraId="55877AA5">
            <w:pPr>
              <w:ind w:firstLine="480" w:firstLineChars="200"/>
              <w:rPr>
                <w:rFonts w:ascii="宋体" w:hAnsi="宋体" w:eastAsia="宋体"/>
              </w:rPr>
            </w:pPr>
            <w:r>
              <w:rPr>
                <w:rFonts w:hint="eastAsia" w:ascii="宋体" w:hAnsi="宋体" w:eastAsia="宋体"/>
              </w:rPr>
              <w:t>3 放射科的检查室、控制室和暗室应设排风系统，自动洗片机排风应采用防腐蚀的风管。排风管上应设止回阀。</w:t>
            </w:r>
          </w:p>
          <w:p w14:paraId="4978FC69">
            <w:pPr>
              <w:ind w:firstLine="480" w:firstLineChars="200"/>
            </w:pPr>
            <w:r>
              <w:rPr>
                <w:rFonts w:hint="eastAsia" w:ascii="宋体" w:hAnsi="宋体" w:eastAsia="宋体"/>
              </w:rPr>
              <w:t>4 在有射线屏蔽的房间，对于穿墙后的风管和配管，应采取不小于墙壁铅当量的屏蔽措施。</w:t>
            </w:r>
          </w:p>
        </w:tc>
        <w:tc>
          <w:tcPr>
            <w:tcW w:w="4261" w:type="dxa"/>
          </w:tcPr>
          <w:p w14:paraId="41781446">
            <w:pPr>
              <w:rPr>
                <w:rFonts w:ascii="宋体" w:hAnsi="宋体" w:eastAsia="宋体"/>
              </w:rPr>
            </w:pPr>
            <w:r>
              <w:rPr>
                <w:rFonts w:hint="eastAsia" w:ascii="宋体" w:hAnsi="宋体" w:eastAsia="宋体"/>
              </w:rPr>
              <w:t>7.7.6 放射科的检查室、控制室和机械间的空调系统和排风系统应符合下列要求：</w:t>
            </w:r>
          </w:p>
          <w:p w14:paraId="36AE89E3">
            <w:pPr>
              <w:ind w:firstLine="480" w:firstLineChars="200"/>
              <w:rPr>
                <w:rFonts w:ascii="宋体" w:hAnsi="宋体" w:eastAsia="宋体"/>
              </w:rPr>
            </w:pPr>
            <w:r>
              <w:rPr>
                <w:rFonts w:hint="eastAsia" w:ascii="宋体" w:hAnsi="宋体" w:eastAsia="宋体"/>
              </w:rPr>
              <w:t>1 应根据设备需要选择空调系统。</w:t>
            </w:r>
          </w:p>
          <w:p w14:paraId="60EC95BD">
            <w:pPr>
              <w:ind w:firstLine="480" w:firstLineChars="200"/>
              <w:rPr>
                <w:rFonts w:ascii="宋体" w:hAnsi="宋体" w:eastAsia="宋体"/>
              </w:rPr>
            </w:pPr>
            <w:r>
              <w:rPr>
                <w:rFonts w:hint="eastAsia" w:ascii="宋体" w:hAnsi="宋体" w:eastAsia="宋体"/>
              </w:rPr>
              <w:t>2 采用半集中式空调系统时，不应在机器</w:t>
            </w:r>
            <w:r>
              <w:rPr>
                <w:rFonts w:hint="eastAsia" w:ascii="宋体" w:hAnsi="宋体" w:eastAsia="宋体"/>
                <w:u w:val="single"/>
              </w:rPr>
              <w:t>正</w:t>
            </w:r>
            <w:r>
              <w:rPr>
                <w:rFonts w:hint="eastAsia" w:ascii="宋体" w:hAnsi="宋体" w:eastAsia="宋体"/>
              </w:rPr>
              <w:t>上方设置任何风机盘管机组等末端装置及其凝水管。</w:t>
            </w:r>
          </w:p>
          <w:p w14:paraId="6F39706A">
            <w:pPr>
              <w:ind w:firstLine="480" w:firstLineChars="200"/>
              <w:rPr>
                <w:rFonts w:ascii="宋体" w:hAnsi="宋体" w:eastAsia="宋体"/>
              </w:rPr>
            </w:pPr>
            <w:r>
              <w:rPr>
                <w:rFonts w:hint="eastAsia" w:ascii="宋体" w:hAnsi="宋体" w:eastAsia="宋体"/>
              </w:rPr>
              <w:t>3 放射科的检查室、控制室和暗室应设排风系统，自动洗片机排风应采用防腐蚀的风管。排风管上应设止回阀。</w:t>
            </w:r>
          </w:p>
          <w:p w14:paraId="099A7CE9">
            <w:pPr>
              <w:ind w:firstLine="480" w:firstLineChars="200"/>
            </w:pPr>
            <w:r>
              <w:rPr>
                <w:rFonts w:hint="eastAsia" w:ascii="宋体" w:hAnsi="宋体" w:eastAsia="宋体"/>
              </w:rPr>
              <w:t>4 在有射线屏蔽的房间，对于穿墙后的风管和配管，应采取不小于墙壁铅当量的屏蔽措施。</w:t>
            </w:r>
          </w:p>
        </w:tc>
      </w:tr>
      <w:tr w14:paraId="61787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841BD97">
            <w:r>
              <w:rPr>
                <w:rFonts w:hint="eastAsia" w:asciiTheme="minorEastAsia" w:hAnsiTheme="minorEastAsia"/>
                <w:bCs/>
              </w:rPr>
              <w:t>7.7.9 放射性同位素治疗用房的空调系统，应根据放射性同位素种类与使用条件确定，宜采用全新风空调方式。放射性同位素管理区域内，相对于管理区域外应保持负压，排气风管宜采用氯乙烯衬里风管，并应在排风系统中设置气密性阀门；应在净化处理装置的排气侧设置风机，并应保持排风管内负压，排风机应后于空调系统关闭。当贮藏室、废物保管室贮藏放射性同位素时，应24h排换气。</w:t>
            </w:r>
          </w:p>
        </w:tc>
        <w:tc>
          <w:tcPr>
            <w:tcW w:w="4261" w:type="dxa"/>
          </w:tcPr>
          <w:p w14:paraId="7D131E25">
            <w:r>
              <w:rPr>
                <w:rFonts w:hint="eastAsia" w:asciiTheme="minorEastAsia" w:hAnsiTheme="minorEastAsia"/>
                <w:bCs/>
              </w:rPr>
              <w:t>7.7.9 放射性同位素治疗用房的空调系统，应根据放射性同位素种类与使用条件确定，宜采用全新风空调方式。放射性同位素管理区域内，相对于管理区域外应保持负压，排气风管宜采用氯乙烯衬里风管，并应在排风系统中设置气密性阀门；</w:t>
            </w:r>
            <w:r>
              <w:rPr>
                <w:rFonts w:hint="eastAsia" w:asciiTheme="minorEastAsia" w:hAnsiTheme="minorEastAsia"/>
                <w:bCs/>
                <w:u w:val="single"/>
              </w:rPr>
              <w:t>排风应经净化处理装置无害化处理后排放，</w:t>
            </w:r>
            <w:r>
              <w:rPr>
                <w:rFonts w:hint="eastAsia" w:asciiTheme="minorEastAsia" w:hAnsiTheme="minorEastAsia"/>
                <w:bCs/>
              </w:rPr>
              <w:t>应在净化处理装置的排气侧设置风机，并应保持排风管内负压，排风机应后于空调系统关闭。当贮藏室、废物保管室贮藏放射性同位素时，应24h排换气。</w:t>
            </w:r>
          </w:p>
        </w:tc>
      </w:tr>
      <w:tr w14:paraId="3DB76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B16CF13">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8.电气</w:t>
            </w:r>
          </w:p>
        </w:tc>
        <w:tc>
          <w:tcPr>
            <w:tcW w:w="4261" w:type="dxa"/>
          </w:tcPr>
          <w:p w14:paraId="0512CFB7">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8.电气</w:t>
            </w:r>
          </w:p>
        </w:tc>
      </w:tr>
      <w:tr w14:paraId="2939F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F2C9933">
            <w:pPr>
              <w:jc w:val="center"/>
              <w:rPr>
                <w:rFonts w:asciiTheme="minorEastAsia" w:hAnsiTheme="minorEastAsia"/>
              </w:rPr>
            </w:pPr>
            <w:r>
              <w:rPr>
                <w:rFonts w:hint="eastAsia" w:asciiTheme="minorEastAsia" w:hAnsiTheme="minorEastAsia"/>
              </w:rPr>
              <w:t>8.1 一般规定</w:t>
            </w:r>
          </w:p>
        </w:tc>
        <w:tc>
          <w:tcPr>
            <w:tcW w:w="4261" w:type="dxa"/>
          </w:tcPr>
          <w:p w14:paraId="2CFE0CB3">
            <w:pPr>
              <w:jc w:val="center"/>
              <w:rPr>
                <w:rFonts w:asciiTheme="minorEastAsia" w:hAnsiTheme="minorEastAsia"/>
              </w:rPr>
            </w:pPr>
            <w:r>
              <w:rPr>
                <w:rFonts w:hint="eastAsia" w:asciiTheme="minorEastAsia" w:hAnsiTheme="minorEastAsia"/>
              </w:rPr>
              <w:t>8.1 一般规定</w:t>
            </w:r>
          </w:p>
        </w:tc>
      </w:tr>
      <w:tr w14:paraId="4886E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6B740BC">
            <w:pPr>
              <w:rPr>
                <w:rFonts w:ascii="宋体" w:hAnsi="宋体" w:eastAsia="宋体"/>
              </w:rPr>
            </w:pPr>
            <w:r>
              <w:rPr>
                <w:rFonts w:hint="eastAsia" w:ascii="宋体" w:hAnsi="宋体" w:eastAsia="宋体"/>
              </w:rPr>
              <w:t>8.1.1 医院的医疗场所应根据电气安全防护的要求分类，并应符合下列要求：</w:t>
            </w:r>
          </w:p>
          <w:p w14:paraId="3F3B2146">
            <w:pPr>
              <w:ind w:firstLine="480" w:firstLineChars="200"/>
              <w:rPr>
                <w:rFonts w:ascii="宋体" w:hAnsi="宋体" w:eastAsia="宋体"/>
              </w:rPr>
            </w:pPr>
            <w:r>
              <w:rPr>
                <w:rFonts w:ascii="宋体" w:hAnsi="宋体" w:eastAsia="宋体"/>
              </w:rPr>
              <w:t xml:space="preserve">1 </w:t>
            </w:r>
            <w:r>
              <w:rPr>
                <w:rFonts w:hint="eastAsia" w:ascii="宋体" w:hAnsi="宋体" w:eastAsia="宋体"/>
              </w:rPr>
              <w:t>不使用医疗电气设备</w:t>
            </w:r>
            <w:r>
              <w:rPr>
                <w:rFonts w:hint="eastAsia" w:ascii="宋体" w:hAnsi="宋体" w:eastAsia="宋体"/>
                <w:bdr w:val="single" w:color="auto" w:sz="4" w:space="0"/>
              </w:rPr>
              <w:t>接触部件</w:t>
            </w:r>
            <w:r>
              <w:rPr>
                <w:rFonts w:hint="eastAsia" w:ascii="宋体" w:hAnsi="宋体" w:eastAsia="宋体"/>
              </w:rPr>
              <w:t>的医疗场所应为</w:t>
            </w:r>
            <w:r>
              <w:rPr>
                <w:rFonts w:ascii="宋体" w:hAnsi="宋体" w:eastAsia="宋体"/>
              </w:rPr>
              <w:t>0</w:t>
            </w:r>
            <w:r>
              <w:rPr>
                <w:rFonts w:hint="eastAsia" w:ascii="宋体" w:hAnsi="宋体" w:eastAsia="宋体"/>
              </w:rPr>
              <w:t>类场所；</w:t>
            </w:r>
          </w:p>
          <w:p w14:paraId="5A783E04">
            <w:pPr>
              <w:ind w:firstLine="480" w:firstLineChars="200"/>
              <w:rPr>
                <w:rFonts w:ascii="宋体" w:hAnsi="宋体" w:eastAsia="宋体"/>
              </w:rPr>
            </w:pPr>
            <w:r>
              <w:rPr>
                <w:rFonts w:ascii="宋体" w:hAnsi="宋体" w:eastAsia="宋体"/>
              </w:rPr>
              <w:t xml:space="preserve">2 </w:t>
            </w:r>
            <w:r>
              <w:rPr>
                <w:rFonts w:hint="eastAsia" w:ascii="宋体" w:hAnsi="宋体" w:eastAsia="宋体"/>
              </w:rPr>
              <w:t>医疗电气设备</w:t>
            </w:r>
            <w:r>
              <w:rPr>
                <w:rFonts w:hint="eastAsia" w:ascii="宋体" w:hAnsi="宋体" w:eastAsia="宋体"/>
                <w:bdr w:val="single" w:color="auto" w:sz="4" w:space="0"/>
              </w:rPr>
              <w:t>接触部件</w:t>
            </w:r>
            <w:r>
              <w:rPr>
                <w:rFonts w:hint="eastAsia" w:ascii="宋体" w:hAnsi="宋体" w:eastAsia="宋体"/>
              </w:rPr>
              <w:t>需要与患者体表、体内</w:t>
            </w:r>
            <w:r>
              <w:rPr>
                <w:rFonts w:ascii="宋体" w:hAnsi="宋体" w:eastAsia="宋体"/>
              </w:rPr>
              <w:t>（</w:t>
            </w:r>
            <w:r>
              <w:rPr>
                <w:rFonts w:hint="eastAsia" w:ascii="宋体" w:hAnsi="宋体" w:eastAsia="宋体"/>
              </w:rPr>
              <w:t>除</w:t>
            </w:r>
            <w:r>
              <w:rPr>
                <w:rFonts w:ascii="宋体" w:hAnsi="宋体" w:eastAsia="宋体"/>
              </w:rPr>
              <w:t>2</w:t>
            </w:r>
            <w:r>
              <w:rPr>
                <w:rFonts w:hint="eastAsia" w:ascii="宋体" w:hAnsi="宋体" w:eastAsia="宋体"/>
              </w:rPr>
              <w:t>类医疗场所所述部位以外</w:t>
            </w:r>
            <w:r>
              <w:rPr>
                <w:rFonts w:ascii="宋体" w:hAnsi="宋体" w:eastAsia="宋体"/>
              </w:rPr>
              <w:t>）</w:t>
            </w:r>
            <w:r>
              <w:rPr>
                <w:rFonts w:hint="eastAsia" w:ascii="宋体" w:hAnsi="宋体" w:eastAsia="宋体"/>
              </w:rPr>
              <w:t>接触的医疗场所，应为</w:t>
            </w:r>
            <w:r>
              <w:rPr>
                <w:rFonts w:ascii="宋体" w:hAnsi="宋体" w:eastAsia="宋体"/>
              </w:rPr>
              <w:t>1</w:t>
            </w:r>
            <w:r>
              <w:rPr>
                <w:rFonts w:hint="eastAsia" w:ascii="宋体" w:hAnsi="宋体" w:eastAsia="宋体"/>
              </w:rPr>
              <w:t>类场所；</w:t>
            </w:r>
          </w:p>
          <w:p w14:paraId="17976403">
            <w:pPr>
              <w:ind w:firstLine="480" w:firstLineChars="200"/>
            </w:pPr>
            <w:r>
              <w:rPr>
                <w:rFonts w:ascii="宋体" w:hAnsi="宋体" w:eastAsia="宋体"/>
              </w:rPr>
              <w:t xml:space="preserve">3 </w:t>
            </w:r>
            <w:r>
              <w:rPr>
                <w:rFonts w:hint="eastAsia" w:ascii="宋体" w:hAnsi="宋体" w:eastAsia="宋体"/>
              </w:rPr>
              <w:t>医疗电气设备</w:t>
            </w:r>
            <w:r>
              <w:rPr>
                <w:rFonts w:hint="eastAsia" w:ascii="宋体" w:hAnsi="宋体" w:eastAsia="宋体"/>
                <w:bdr w:val="single" w:color="auto" w:sz="4" w:space="0"/>
              </w:rPr>
              <w:t>接触部件</w:t>
            </w:r>
            <w:r>
              <w:rPr>
                <w:rFonts w:hint="eastAsia" w:ascii="宋体" w:hAnsi="宋体" w:eastAsia="宋体"/>
              </w:rPr>
              <w:t>需要与患者体内</w:t>
            </w:r>
            <w:r>
              <w:rPr>
                <w:rFonts w:ascii="宋体" w:hAnsi="宋体" w:eastAsia="宋体"/>
              </w:rPr>
              <w:t>（</w:t>
            </w:r>
            <w:r>
              <w:rPr>
                <w:rFonts w:hint="eastAsia" w:ascii="宋体" w:hAnsi="宋体" w:eastAsia="宋体"/>
              </w:rPr>
              <w:t>指心脏或接近心脏部位</w:t>
            </w:r>
            <w:r>
              <w:rPr>
                <w:rFonts w:ascii="宋体" w:hAnsi="宋体" w:eastAsia="宋体"/>
              </w:rPr>
              <w:t>）</w:t>
            </w:r>
            <w:r>
              <w:rPr>
                <w:rFonts w:hint="eastAsia" w:ascii="宋体" w:hAnsi="宋体" w:eastAsia="宋体"/>
              </w:rPr>
              <w:t>接触以及电源中断危及患者生命的医疗场所，应为</w:t>
            </w:r>
            <w:r>
              <w:rPr>
                <w:rFonts w:ascii="宋体" w:hAnsi="宋体" w:eastAsia="宋体"/>
              </w:rPr>
              <w:t>2</w:t>
            </w:r>
            <w:r>
              <w:rPr>
                <w:rFonts w:hint="eastAsia" w:ascii="宋体" w:hAnsi="宋体" w:eastAsia="宋体"/>
              </w:rPr>
              <w:t>类场所。</w:t>
            </w:r>
          </w:p>
        </w:tc>
        <w:tc>
          <w:tcPr>
            <w:tcW w:w="4261" w:type="dxa"/>
          </w:tcPr>
          <w:p w14:paraId="54DC1A60">
            <w:pPr>
              <w:rPr>
                <w:rFonts w:ascii="宋体" w:hAnsi="宋体" w:eastAsia="宋体"/>
              </w:rPr>
            </w:pPr>
            <w:r>
              <w:rPr>
                <w:rFonts w:hint="eastAsia" w:ascii="宋体" w:hAnsi="宋体" w:eastAsia="宋体"/>
              </w:rPr>
              <w:t>8.1.1 医院的医疗场所应根据电气安全防护的要求分类，并应符合下列要求：</w:t>
            </w:r>
          </w:p>
          <w:p w14:paraId="1AECA62D">
            <w:pPr>
              <w:ind w:firstLine="480" w:firstLineChars="200"/>
              <w:rPr>
                <w:rFonts w:ascii="宋体" w:hAnsi="宋体" w:eastAsia="宋体"/>
              </w:rPr>
            </w:pPr>
            <w:r>
              <w:rPr>
                <w:rFonts w:ascii="宋体" w:hAnsi="宋体" w:eastAsia="宋体"/>
              </w:rPr>
              <w:t xml:space="preserve">1 </w:t>
            </w:r>
            <w:r>
              <w:rPr>
                <w:rFonts w:hint="eastAsia" w:ascii="宋体" w:hAnsi="宋体" w:eastAsia="宋体"/>
              </w:rPr>
              <w:t>不使用医疗电气设备</w:t>
            </w:r>
            <w:r>
              <w:rPr>
                <w:rFonts w:hint="eastAsia" w:ascii="宋体" w:hAnsi="宋体" w:eastAsia="宋体"/>
                <w:u w:val="single"/>
              </w:rPr>
              <w:t>或系统</w:t>
            </w:r>
            <w:r>
              <w:rPr>
                <w:rFonts w:hint="eastAsia" w:ascii="宋体" w:hAnsi="宋体" w:eastAsia="宋体"/>
              </w:rPr>
              <w:t>的医疗场所应为</w:t>
            </w:r>
            <w:r>
              <w:rPr>
                <w:rFonts w:ascii="宋体" w:hAnsi="宋体" w:eastAsia="宋体"/>
              </w:rPr>
              <w:t>0</w:t>
            </w:r>
            <w:r>
              <w:rPr>
                <w:rFonts w:hint="eastAsia" w:ascii="宋体" w:hAnsi="宋体" w:eastAsia="宋体"/>
              </w:rPr>
              <w:t>类场所；</w:t>
            </w:r>
          </w:p>
          <w:p w14:paraId="5D95F672">
            <w:pPr>
              <w:ind w:firstLine="480" w:firstLineChars="200"/>
              <w:rPr>
                <w:rFonts w:ascii="宋体" w:hAnsi="宋体" w:eastAsia="宋体"/>
              </w:rPr>
            </w:pPr>
            <w:r>
              <w:rPr>
                <w:rFonts w:ascii="宋体" w:hAnsi="宋体" w:eastAsia="宋体"/>
              </w:rPr>
              <w:t xml:space="preserve">2 </w:t>
            </w:r>
            <w:r>
              <w:rPr>
                <w:rFonts w:hint="eastAsia" w:ascii="宋体" w:hAnsi="宋体" w:eastAsia="宋体"/>
              </w:rPr>
              <w:t>医疗电气设备</w:t>
            </w:r>
            <w:r>
              <w:rPr>
                <w:rFonts w:hint="eastAsia" w:ascii="宋体" w:hAnsi="宋体" w:eastAsia="宋体"/>
                <w:u w:val="single"/>
              </w:rPr>
              <w:t>或系统</w:t>
            </w:r>
            <w:r>
              <w:rPr>
                <w:rFonts w:hint="eastAsia" w:ascii="宋体" w:hAnsi="宋体" w:eastAsia="宋体"/>
              </w:rPr>
              <w:t>需要与患者体表、体内</w:t>
            </w:r>
            <w:r>
              <w:rPr>
                <w:rFonts w:ascii="宋体" w:hAnsi="宋体" w:eastAsia="宋体"/>
              </w:rPr>
              <w:t>（</w:t>
            </w:r>
            <w:r>
              <w:rPr>
                <w:rFonts w:hint="eastAsia" w:ascii="宋体" w:hAnsi="宋体" w:eastAsia="宋体"/>
              </w:rPr>
              <w:t>除</w:t>
            </w:r>
            <w:r>
              <w:rPr>
                <w:rFonts w:ascii="宋体" w:hAnsi="宋体" w:eastAsia="宋体"/>
              </w:rPr>
              <w:t>2</w:t>
            </w:r>
            <w:r>
              <w:rPr>
                <w:rFonts w:hint="eastAsia" w:ascii="宋体" w:hAnsi="宋体" w:eastAsia="宋体"/>
              </w:rPr>
              <w:t>类医疗场所所述部位以外</w:t>
            </w:r>
            <w:r>
              <w:rPr>
                <w:rFonts w:ascii="宋体" w:hAnsi="宋体" w:eastAsia="宋体"/>
              </w:rPr>
              <w:t>）</w:t>
            </w:r>
            <w:r>
              <w:rPr>
                <w:rFonts w:hint="eastAsia" w:ascii="宋体" w:hAnsi="宋体" w:eastAsia="宋体"/>
              </w:rPr>
              <w:t>接触的医疗场所，应为</w:t>
            </w:r>
            <w:r>
              <w:rPr>
                <w:rFonts w:ascii="宋体" w:hAnsi="宋体" w:eastAsia="宋体"/>
              </w:rPr>
              <w:t>1</w:t>
            </w:r>
            <w:r>
              <w:rPr>
                <w:rFonts w:hint="eastAsia" w:ascii="宋体" w:hAnsi="宋体" w:eastAsia="宋体"/>
              </w:rPr>
              <w:t>类场所；</w:t>
            </w:r>
          </w:p>
          <w:p w14:paraId="25E475C6">
            <w:pPr>
              <w:ind w:firstLine="480" w:firstLineChars="200"/>
              <w:rPr>
                <w:rFonts w:ascii="宋体" w:hAnsi="宋体" w:eastAsia="宋体"/>
                <w:u w:val="single"/>
              </w:rPr>
            </w:pPr>
            <w:r>
              <w:rPr>
                <w:rFonts w:ascii="宋体" w:hAnsi="宋体" w:eastAsia="宋体"/>
              </w:rPr>
              <w:t xml:space="preserve">3 </w:t>
            </w:r>
            <w:r>
              <w:rPr>
                <w:rFonts w:hint="eastAsia" w:ascii="宋体" w:hAnsi="宋体" w:eastAsia="宋体"/>
              </w:rPr>
              <w:t>医疗电气设备</w:t>
            </w:r>
            <w:r>
              <w:rPr>
                <w:rFonts w:hint="eastAsia" w:ascii="宋体" w:hAnsi="宋体" w:eastAsia="宋体"/>
                <w:u w:val="single"/>
              </w:rPr>
              <w:t>或系统</w:t>
            </w:r>
            <w:r>
              <w:rPr>
                <w:rFonts w:hint="eastAsia" w:ascii="宋体" w:hAnsi="宋体" w:eastAsia="宋体"/>
              </w:rPr>
              <w:t>需要与患者体内</w:t>
            </w:r>
            <w:r>
              <w:rPr>
                <w:rFonts w:ascii="宋体" w:hAnsi="宋体" w:eastAsia="宋体"/>
              </w:rPr>
              <w:t>（</w:t>
            </w:r>
            <w:r>
              <w:rPr>
                <w:rFonts w:hint="eastAsia" w:ascii="宋体" w:hAnsi="宋体" w:eastAsia="宋体"/>
              </w:rPr>
              <w:t>指心脏或接近心脏部位</w:t>
            </w:r>
            <w:r>
              <w:rPr>
                <w:rFonts w:ascii="宋体" w:hAnsi="宋体" w:eastAsia="宋体"/>
              </w:rPr>
              <w:t>）</w:t>
            </w:r>
            <w:r>
              <w:rPr>
                <w:rFonts w:hint="eastAsia" w:ascii="宋体" w:hAnsi="宋体" w:eastAsia="宋体"/>
              </w:rPr>
              <w:t>接触以及电源中断危及患者生命的医疗场所，应为</w:t>
            </w:r>
            <w:r>
              <w:rPr>
                <w:rFonts w:ascii="宋体" w:hAnsi="宋体" w:eastAsia="宋体"/>
              </w:rPr>
              <w:t>2</w:t>
            </w:r>
            <w:r>
              <w:rPr>
                <w:rFonts w:hint="eastAsia" w:ascii="宋体" w:hAnsi="宋体" w:eastAsia="宋体"/>
              </w:rPr>
              <w:t>类场所。</w:t>
            </w:r>
          </w:p>
        </w:tc>
      </w:tr>
      <w:tr w14:paraId="73DB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0455769"/>
        </w:tc>
        <w:tc>
          <w:tcPr>
            <w:tcW w:w="4261" w:type="dxa"/>
          </w:tcPr>
          <w:p w14:paraId="6F372A63">
            <w:pPr>
              <w:kinsoku w:val="0"/>
              <w:overflowPunct w:val="0"/>
              <w:rPr>
                <w:rFonts w:ascii="宋体" w:hAnsi="宋体" w:eastAsia="宋体"/>
                <w:kern w:val="44"/>
                <w:u w:val="single"/>
              </w:rPr>
            </w:pPr>
            <w:r>
              <w:rPr>
                <w:rFonts w:ascii="宋体" w:hAnsi="宋体" w:eastAsia="宋体"/>
                <w:u w:val="single"/>
              </w:rPr>
              <w:t>8.1.1A 医</w:t>
            </w:r>
            <w:r>
              <w:rPr>
                <w:rFonts w:hint="eastAsia" w:ascii="宋体" w:hAnsi="宋体" w:eastAsia="宋体"/>
                <w:u w:val="single"/>
              </w:rPr>
              <w:t>院的医疗场所安全设施是指医疗活动中对电源恢复供电时间有要求电气设施。安全设施供电系统按照自动恢复供电时间分级如下</w:t>
            </w:r>
            <w:r>
              <w:rPr>
                <w:rFonts w:hint="eastAsia" w:ascii="宋体" w:hAnsi="宋体" w:eastAsia="宋体"/>
                <w:kern w:val="44"/>
                <w:u w:val="single"/>
              </w:rPr>
              <w:t>：</w:t>
            </w:r>
          </w:p>
          <w:p w14:paraId="3262109A">
            <w:pPr>
              <w:kinsoku w:val="0"/>
              <w:overflowPunct w:val="0"/>
              <w:ind w:firstLine="480" w:firstLineChars="200"/>
              <w:rPr>
                <w:rFonts w:ascii="宋体" w:hAnsi="宋体" w:eastAsia="宋体"/>
                <w:kern w:val="44"/>
                <w:u w:val="single"/>
              </w:rPr>
            </w:pPr>
            <w:r>
              <w:rPr>
                <w:rFonts w:ascii="宋体" w:hAnsi="宋体" w:eastAsia="宋体"/>
                <w:kern w:val="44"/>
                <w:u w:val="single"/>
              </w:rPr>
              <w:t>C</w:t>
            </w:r>
            <w:r>
              <w:rPr>
                <w:rFonts w:hint="eastAsia" w:ascii="宋体" w:hAnsi="宋体" w:eastAsia="宋体"/>
                <w:kern w:val="44"/>
                <w:u w:val="single"/>
              </w:rPr>
              <w:t>级-短中断：0.5s内有效地恢复供电；</w:t>
            </w:r>
          </w:p>
          <w:p w14:paraId="7723A880">
            <w:pPr>
              <w:kinsoku w:val="0"/>
              <w:overflowPunct w:val="0"/>
              <w:ind w:firstLine="480" w:firstLineChars="200"/>
              <w:rPr>
                <w:rFonts w:ascii="宋体" w:hAnsi="宋体" w:eastAsia="宋体"/>
                <w:kern w:val="44"/>
                <w:u w:val="single"/>
              </w:rPr>
            </w:pPr>
            <w:r>
              <w:rPr>
                <w:rFonts w:ascii="宋体" w:hAnsi="宋体" w:eastAsia="宋体"/>
                <w:kern w:val="44"/>
                <w:u w:val="single"/>
              </w:rPr>
              <w:t>E</w:t>
            </w:r>
            <w:r>
              <w:rPr>
                <w:rFonts w:hint="eastAsia" w:ascii="宋体" w:hAnsi="宋体" w:eastAsia="宋体"/>
                <w:kern w:val="44"/>
                <w:u w:val="single"/>
              </w:rPr>
              <w:t>级-较长中断：15s内有效地恢复供电；</w:t>
            </w:r>
          </w:p>
          <w:p w14:paraId="2E043E6C">
            <w:pPr>
              <w:kinsoku w:val="0"/>
              <w:overflowPunct w:val="0"/>
              <w:ind w:firstLine="480" w:firstLineChars="200"/>
            </w:pPr>
            <w:r>
              <w:rPr>
                <w:rFonts w:ascii="宋体" w:hAnsi="宋体" w:eastAsia="宋体" w:cs="Arial"/>
                <w:kern w:val="44"/>
                <w:u w:val="single"/>
              </w:rPr>
              <w:t>F</w:t>
            </w:r>
            <w:r>
              <w:rPr>
                <w:rFonts w:hint="eastAsia" w:ascii="宋体" w:hAnsi="宋体" w:eastAsia="宋体" w:cs="Arial"/>
                <w:kern w:val="44"/>
                <w:u w:val="single"/>
              </w:rPr>
              <w:t>级-长中断：超过15s的有效地恢复供电。</w:t>
            </w:r>
          </w:p>
        </w:tc>
      </w:tr>
      <w:tr w14:paraId="485F8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62CBEAE">
            <w:pPr>
              <w:rPr>
                <w:rFonts w:ascii="宋体" w:hAnsi="宋体" w:eastAsia="宋体"/>
              </w:rPr>
            </w:pPr>
            <w:r>
              <w:rPr>
                <w:rFonts w:ascii="宋体" w:hAnsi="宋体" w:eastAsia="宋体"/>
              </w:rPr>
              <w:t>8.1.2 医疗场所分类</w:t>
            </w:r>
            <w:r>
              <w:rPr>
                <w:rFonts w:ascii="宋体" w:hAnsi="宋体" w:eastAsia="宋体"/>
                <w:bdr w:val="single" w:color="auto" w:sz="4" w:space="0"/>
              </w:rPr>
              <w:t>及自动恢复供电时间</w:t>
            </w:r>
            <w:r>
              <w:rPr>
                <w:rFonts w:ascii="宋体" w:hAnsi="宋体" w:eastAsia="宋体"/>
              </w:rPr>
              <w:t>宜符合表8.1.2规定。</w:t>
            </w:r>
          </w:p>
          <w:p w14:paraId="3D9C05EF">
            <w:pPr>
              <w:jc w:val="center"/>
              <w:rPr>
                <w:rFonts w:ascii="宋体" w:hAnsi="宋体" w:eastAsia="宋体"/>
                <w:b/>
                <w:bCs/>
                <w:kern w:val="18"/>
                <w:sz w:val="18"/>
                <w:szCs w:val="18"/>
              </w:rPr>
            </w:pPr>
            <w:r>
              <w:rPr>
                <w:rFonts w:ascii="宋体" w:hAnsi="宋体" w:eastAsia="宋体"/>
                <w:b/>
                <w:bCs/>
                <w:sz w:val="18"/>
                <w:szCs w:val="18"/>
              </w:rPr>
              <w:t xml:space="preserve">表8.1.2 </w:t>
            </w:r>
            <w:r>
              <w:rPr>
                <w:rFonts w:ascii="宋体" w:hAnsi="宋体" w:eastAsia="宋体"/>
                <w:b/>
                <w:bCs/>
                <w:kern w:val="18"/>
                <w:sz w:val="18"/>
                <w:szCs w:val="18"/>
              </w:rPr>
              <w:t>医疗场所</w:t>
            </w:r>
            <w:r>
              <w:rPr>
                <w:rFonts w:hint="eastAsia" w:ascii="宋体" w:hAnsi="宋体" w:eastAsia="宋体"/>
                <w:b/>
                <w:bCs/>
                <w:kern w:val="18"/>
                <w:sz w:val="18"/>
                <w:szCs w:val="18"/>
              </w:rPr>
              <w:t>及设施的</w:t>
            </w:r>
            <w:r>
              <w:rPr>
                <w:rFonts w:hint="eastAsia" w:ascii="宋体" w:hAnsi="宋体" w:eastAsia="宋体"/>
                <w:b/>
                <w:bCs/>
                <w:iCs/>
                <w:sz w:val="18"/>
                <w:szCs w:val="18"/>
              </w:rPr>
              <w:t>类别划分</w:t>
            </w:r>
            <w:r>
              <w:rPr>
                <w:rFonts w:ascii="宋体" w:hAnsi="宋体" w:eastAsia="宋体"/>
                <w:b/>
                <w:bCs/>
                <w:iCs/>
                <w:sz w:val="18"/>
                <w:szCs w:val="18"/>
              </w:rPr>
              <w:t>及</w:t>
            </w:r>
            <w:r>
              <w:rPr>
                <w:rFonts w:hint="eastAsia" w:ascii="宋体" w:hAnsi="宋体" w:eastAsia="宋体"/>
                <w:b/>
                <w:sz w:val="18"/>
                <w:szCs w:val="18"/>
                <w:bdr w:val="single" w:color="auto" w:sz="4" w:space="0"/>
              </w:rPr>
              <w:t>要求恢复供电的时间</w:t>
            </w:r>
          </w:p>
          <w:tbl>
            <w:tblPr>
              <w:tblStyle w:val="19"/>
              <w:tblW w:w="0" w:type="auto"/>
              <w:tblInd w:w="0" w:type="dxa"/>
              <w:tblLayout w:type="fixed"/>
              <w:tblCellMar>
                <w:top w:w="0" w:type="dxa"/>
                <w:left w:w="28" w:type="dxa"/>
                <w:bottom w:w="0" w:type="dxa"/>
                <w:right w:w="28" w:type="dxa"/>
              </w:tblCellMar>
            </w:tblPr>
            <w:tblGrid>
              <w:gridCol w:w="616"/>
              <w:gridCol w:w="1228"/>
              <w:gridCol w:w="258"/>
              <w:gridCol w:w="258"/>
              <w:gridCol w:w="258"/>
              <w:gridCol w:w="469"/>
              <w:gridCol w:w="469"/>
              <w:gridCol w:w="469"/>
            </w:tblGrid>
            <w:tr w14:paraId="0109C270">
              <w:tblPrEx>
                <w:tblCellMar>
                  <w:top w:w="0" w:type="dxa"/>
                  <w:left w:w="28" w:type="dxa"/>
                  <w:bottom w:w="0" w:type="dxa"/>
                  <w:right w:w="28" w:type="dxa"/>
                </w:tblCellMar>
              </w:tblPrEx>
              <w:trPr>
                <w:cantSplit/>
                <w:trHeight w:val="20" w:hRule="atLeast"/>
              </w:trPr>
              <w:tc>
                <w:tcPr>
                  <w:tcW w:w="616" w:type="dxa"/>
                  <w:vMerge w:val="restart"/>
                  <w:tcBorders>
                    <w:top w:val="single" w:color="auto" w:sz="8" w:space="0"/>
                    <w:left w:val="single" w:color="auto" w:sz="8" w:space="0"/>
                    <w:bottom w:val="single" w:color="auto" w:sz="4" w:space="0"/>
                    <w:right w:val="single" w:color="auto" w:sz="4" w:space="0"/>
                  </w:tcBorders>
                  <w:vAlign w:val="center"/>
                </w:tcPr>
                <w:p w14:paraId="160E04A9">
                  <w:pPr>
                    <w:spacing w:line="240" w:lineRule="auto"/>
                    <w:jc w:val="center"/>
                    <w:rPr>
                      <w:rFonts w:ascii="宋体" w:hAnsi="宋体" w:eastAsia="宋体"/>
                      <w:sz w:val="18"/>
                      <w:szCs w:val="18"/>
                    </w:rPr>
                  </w:pPr>
                  <w:r>
                    <w:rPr>
                      <w:rFonts w:ascii="宋体" w:hAnsi="宋体" w:eastAsia="宋体"/>
                      <w:sz w:val="18"/>
                      <w:szCs w:val="18"/>
                    </w:rPr>
                    <w:t>部门</w:t>
                  </w:r>
                </w:p>
              </w:tc>
              <w:tc>
                <w:tcPr>
                  <w:tcW w:w="1228" w:type="dxa"/>
                  <w:vMerge w:val="restart"/>
                  <w:tcBorders>
                    <w:top w:val="single" w:color="auto" w:sz="8" w:space="0"/>
                    <w:left w:val="single" w:color="auto" w:sz="4" w:space="0"/>
                    <w:bottom w:val="single" w:color="auto" w:sz="4" w:space="0"/>
                    <w:right w:val="single" w:color="auto" w:sz="8" w:space="0"/>
                  </w:tcBorders>
                  <w:vAlign w:val="center"/>
                </w:tcPr>
                <w:p w14:paraId="32D58E81">
                  <w:pPr>
                    <w:spacing w:line="240" w:lineRule="auto"/>
                    <w:jc w:val="center"/>
                    <w:rPr>
                      <w:rFonts w:ascii="宋体" w:hAnsi="宋体" w:eastAsia="宋体"/>
                      <w:sz w:val="18"/>
                      <w:szCs w:val="18"/>
                    </w:rPr>
                  </w:pPr>
                  <w:r>
                    <w:rPr>
                      <w:rFonts w:ascii="宋体" w:hAnsi="宋体" w:eastAsia="宋体"/>
                      <w:sz w:val="18"/>
                      <w:szCs w:val="18"/>
                    </w:rPr>
                    <w:t>医疗场所以及设备</w:t>
                  </w:r>
                </w:p>
              </w:tc>
              <w:tc>
                <w:tcPr>
                  <w:tcW w:w="774" w:type="dxa"/>
                  <w:gridSpan w:val="3"/>
                  <w:tcBorders>
                    <w:top w:val="single" w:color="auto" w:sz="8" w:space="0"/>
                    <w:left w:val="single" w:color="auto" w:sz="8" w:space="0"/>
                    <w:bottom w:val="single" w:color="auto" w:sz="4" w:space="0"/>
                    <w:right w:val="single" w:color="auto" w:sz="8" w:space="0"/>
                  </w:tcBorders>
                  <w:vAlign w:val="center"/>
                </w:tcPr>
                <w:p w14:paraId="45C8ACCD">
                  <w:pPr>
                    <w:spacing w:line="240" w:lineRule="auto"/>
                    <w:jc w:val="center"/>
                    <w:rPr>
                      <w:rFonts w:ascii="宋体" w:hAnsi="宋体" w:eastAsia="宋体"/>
                      <w:sz w:val="18"/>
                      <w:szCs w:val="18"/>
                    </w:rPr>
                  </w:pPr>
                  <w:r>
                    <w:rPr>
                      <w:rFonts w:ascii="宋体" w:hAnsi="宋体" w:eastAsia="宋体"/>
                      <w:sz w:val="18"/>
                      <w:szCs w:val="18"/>
                    </w:rPr>
                    <w:t>场所类别</w:t>
                  </w:r>
                </w:p>
              </w:tc>
              <w:tc>
                <w:tcPr>
                  <w:tcW w:w="1407" w:type="dxa"/>
                  <w:gridSpan w:val="3"/>
                  <w:tcBorders>
                    <w:top w:val="single" w:color="auto" w:sz="8" w:space="0"/>
                    <w:left w:val="single" w:color="auto" w:sz="8" w:space="0"/>
                    <w:bottom w:val="single" w:color="auto" w:sz="4" w:space="0"/>
                    <w:right w:val="single" w:color="auto" w:sz="8" w:space="0"/>
                  </w:tcBorders>
                  <w:vAlign w:val="center"/>
                </w:tcPr>
                <w:p w14:paraId="3E9A0851">
                  <w:pPr>
                    <w:spacing w:line="240" w:lineRule="auto"/>
                    <w:jc w:val="center"/>
                    <w:rPr>
                      <w:rFonts w:ascii="宋体" w:hAnsi="宋体" w:eastAsia="宋体"/>
                      <w:sz w:val="18"/>
                      <w:szCs w:val="18"/>
                      <w:u w:val="single"/>
                    </w:rPr>
                  </w:pPr>
                  <w:r>
                    <w:rPr>
                      <w:rFonts w:hint="eastAsia" w:ascii="宋体" w:hAnsi="宋体" w:eastAsia="宋体"/>
                      <w:sz w:val="18"/>
                      <w:szCs w:val="18"/>
                      <w:bdr w:val="single" w:color="auto" w:sz="4" w:space="0"/>
                    </w:rPr>
                    <w:t>自动恢复供电时间</w:t>
                  </w:r>
                </w:p>
              </w:tc>
            </w:tr>
            <w:tr w14:paraId="3BC2CB5A">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8" w:space="0"/>
                    <w:right w:val="single" w:color="auto" w:sz="4" w:space="0"/>
                  </w:tcBorders>
                  <w:vAlign w:val="center"/>
                </w:tcPr>
                <w:p w14:paraId="6E74F2F0">
                  <w:pPr>
                    <w:spacing w:line="240" w:lineRule="auto"/>
                    <w:jc w:val="center"/>
                    <w:rPr>
                      <w:rFonts w:ascii="宋体" w:hAnsi="宋体" w:eastAsia="宋体"/>
                      <w:sz w:val="18"/>
                      <w:szCs w:val="18"/>
                    </w:rPr>
                  </w:pPr>
                </w:p>
              </w:tc>
              <w:tc>
                <w:tcPr>
                  <w:tcW w:w="1228" w:type="dxa"/>
                  <w:vMerge w:val="continue"/>
                  <w:tcBorders>
                    <w:top w:val="single" w:color="auto" w:sz="4" w:space="0"/>
                    <w:left w:val="single" w:color="auto" w:sz="4" w:space="0"/>
                    <w:bottom w:val="single" w:color="auto" w:sz="8" w:space="0"/>
                    <w:right w:val="single" w:color="auto" w:sz="8" w:space="0"/>
                  </w:tcBorders>
                  <w:vAlign w:val="center"/>
                </w:tcPr>
                <w:p w14:paraId="1798E07F">
                  <w:pPr>
                    <w:spacing w:line="240" w:lineRule="auto"/>
                    <w:jc w:val="center"/>
                    <w:rPr>
                      <w:rFonts w:ascii="宋体" w:hAnsi="宋体" w:eastAsia="宋体"/>
                      <w:sz w:val="18"/>
                      <w:szCs w:val="18"/>
                    </w:rPr>
                  </w:pPr>
                </w:p>
              </w:tc>
              <w:tc>
                <w:tcPr>
                  <w:tcW w:w="258" w:type="dxa"/>
                  <w:tcBorders>
                    <w:top w:val="single" w:color="auto" w:sz="4" w:space="0"/>
                    <w:left w:val="single" w:color="auto" w:sz="8" w:space="0"/>
                    <w:bottom w:val="single" w:color="auto" w:sz="8" w:space="0"/>
                    <w:right w:val="single" w:color="auto" w:sz="4" w:space="0"/>
                  </w:tcBorders>
                  <w:vAlign w:val="center"/>
                </w:tcPr>
                <w:p w14:paraId="5EE9182A">
                  <w:pPr>
                    <w:spacing w:line="240" w:lineRule="auto"/>
                    <w:jc w:val="center"/>
                    <w:rPr>
                      <w:rFonts w:ascii="宋体" w:hAnsi="宋体" w:eastAsia="宋体"/>
                      <w:sz w:val="18"/>
                      <w:szCs w:val="18"/>
                    </w:rPr>
                  </w:pPr>
                  <w:r>
                    <w:rPr>
                      <w:rFonts w:ascii="宋体" w:hAnsi="宋体" w:eastAsia="宋体"/>
                      <w:sz w:val="18"/>
                      <w:szCs w:val="18"/>
                    </w:rPr>
                    <w:t>0</w:t>
                  </w:r>
                </w:p>
              </w:tc>
              <w:tc>
                <w:tcPr>
                  <w:tcW w:w="258" w:type="dxa"/>
                  <w:tcBorders>
                    <w:top w:val="single" w:color="auto" w:sz="4" w:space="0"/>
                    <w:left w:val="single" w:color="auto" w:sz="4" w:space="0"/>
                    <w:bottom w:val="single" w:color="auto" w:sz="8" w:space="0"/>
                    <w:right w:val="single" w:color="auto" w:sz="4" w:space="0"/>
                  </w:tcBorders>
                  <w:vAlign w:val="center"/>
                </w:tcPr>
                <w:p w14:paraId="2F50EDA8">
                  <w:pPr>
                    <w:spacing w:line="240" w:lineRule="auto"/>
                    <w:jc w:val="center"/>
                    <w:rPr>
                      <w:rFonts w:ascii="宋体" w:hAnsi="宋体" w:eastAsia="宋体"/>
                      <w:sz w:val="18"/>
                      <w:szCs w:val="18"/>
                    </w:rPr>
                  </w:pPr>
                  <w:r>
                    <w:rPr>
                      <w:rFonts w:ascii="宋体" w:hAnsi="宋体" w:eastAsia="宋体"/>
                      <w:sz w:val="18"/>
                      <w:szCs w:val="18"/>
                    </w:rPr>
                    <w:t>1</w:t>
                  </w:r>
                </w:p>
              </w:tc>
              <w:tc>
                <w:tcPr>
                  <w:tcW w:w="258" w:type="dxa"/>
                  <w:tcBorders>
                    <w:top w:val="single" w:color="auto" w:sz="4" w:space="0"/>
                    <w:left w:val="single" w:color="auto" w:sz="4" w:space="0"/>
                    <w:bottom w:val="single" w:color="auto" w:sz="8" w:space="0"/>
                    <w:right w:val="single" w:color="auto" w:sz="8" w:space="0"/>
                  </w:tcBorders>
                  <w:vAlign w:val="center"/>
                </w:tcPr>
                <w:p w14:paraId="4EBA1D2C">
                  <w:pPr>
                    <w:spacing w:line="240" w:lineRule="auto"/>
                    <w:jc w:val="center"/>
                    <w:rPr>
                      <w:rFonts w:ascii="宋体" w:hAnsi="宋体" w:eastAsia="宋体"/>
                      <w:sz w:val="18"/>
                      <w:szCs w:val="18"/>
                    </w:rPr>
                  </w:pPr>
                  <w:r>
                    <w:rPr>
                      <w:rFonts w:ascii="宋体" w:hAnsi="宋体" w:eastAsia="宋体"/>
                      <w:sz w:val="18"/>
                      <w:szCs w:val="18"/>
                    </w:rPr>
                    <w:t>2</w:t>
                  </w:r>
                </w:p>
              </w:tc>
              <w:tc>
                <w:tcPr>
                  <w:tcW w:w="469" w:type="dxa"/>
                  <w:tcBorders>
                    <w:top w:val="single" w:color="auto" w:sz="4" w:space="0"/>
                    <w:left w:val="single" w:color="auto" w:sz="8" w:space="0"/>
                    <w:bottom w:val="single" w:color="auto" w:sz="8" w:space="0"/>
                    <w:right w:val="single" w:color="auto" w:sz="4" w:space="0"/>
                  </w:tcBorders>
                  <w:vAlign w:val="center"/>
                </w:tcPr>
                <w:p w14:paraId="2FF951E7">
                  <w:pPr>
                    <w:spacing w:line="240" w:lineRule="auto"/>
                    <w:jc w:val="center"/>
                    <w:rPr>
                      <w:rFonts w:ascii="宋体" w:hAnsi="宋体" w:eastAsia="宋体"/>
                      <w:sz w:val="18"/>
                      <w:szCs w:val="18"/>
                      <w:u w:val="single"/>
                    </w:rPr>
                  </w:pPr>
                  <w:r>
                    <w:rPr>
                      <w:rFonts w:hint="eastAsia" w:ascii="宋体" w:hAnsi="宋体" w:eastAsia="宋体"/>
                      <w:sz w:val="18"/>
                      <w:szCs w:val="18"/>
                      <w:bdr w:val="single" w:color="auto" w:sz="4" w:space="0"/>
                    </w:rPr>
                    <w:t>t≤0.5</w:t>
                  </w:r>
                  <w:r>
                    <w:rPr>
                      <w:rFonts w:ascii="宋体" w:hAnsi="宋体" w:eastAsia="宋体"/>
                      <w:sz w:val="18"/>
                      <w:szCs w:val="18"/>
                      <w:bdr w:val="single" w:color="auto" w:sz="4" w:space="0"/>
                    </w:rPr>
                    <w:t>s</w:t>
                  </w:r>
                </w:p>
              </w:tc>
              <w:tc>
                <w:tcPr>
                  <w:tcW w:w="469" w:type="dxa"/>
                  <w:tcBorders>
                    <w:top w:val="single" w:color="auto" w:sz="4" w:space="0"/>
                    <w:left w:val="single" w:color="auto" w:sz="4" w:space="0"/>
                    <w:bottom w:val="single" w:color="auto" w:sz="8" w:space="0"/>
                    <w:right w:val="single" w:color="auto" w:sz="4" w:space="0"/>
                  </w:tcBorders>
                  <w:vAlign w:val="center"/>
                </w:tcPr>
                <w:p w14:paraId="2DDCC379">
                  <w:pPr>
                    <w:spacing w:line="240" w:lineRule="auto"/>
                    <w:jc w:val="center"/>
                    <w:rPr>
                      <w:rFonts w:ascii="宋体" w:hAnsi="宋体" w:eastAsia="宋体"/>
                      <w:sz w:val="18"/>
                      <w:szCs w:val="18"/>
                      <w:u w:val="single"/>
                    </w:rPr>
                  </w:pPr>
                  <w:r>
                    <w:rPr>
                      <w:rFonts w:ascii="宋体" w:hAnsi="宋体" w:eastAsia="宋体"/>
                      <w:sz w:val="18"/>
                      <w:szCs w:val="18"/>
                      <w:bdr w:val="single" w:color="auto" w:sz="4" w:space="0"/>
                    </w:rPr>
                    <w:t>0.5s</w:t>
                  </w:r>
                  <w:r>
                    <w:rPr>
                      <w:rFonts w:hint="eastAsia" w:ascii="宋体" w:hAnsi="宋体" w:eastAsia="宋体"/>
                      <w:sz w:val="18"/>
                      <w:szCs w:val="18"/>
                      <w:bdr w:val="single" w:color="auto" w:sz="4" w:space="0"/>
                    </w:rPr>
                    <w:t>＜</w:t>
                  </w:r>
                  <w:r>
                    <w:rPr>
                      <w:rFonts w:ascii="宋体" w:hAnsi="宋体" w:eastAsia="宋体"/>
                      <w:sz w:val="18"/>
                      <w:szCs w:val="18"/>
                      <w:bdr w:val="single" w:color="auto" w:sz="4" w:space="0"/>
                    </w:rPr>
                    <w:t>t</w:t>
                  </w:r>
                  <w:r>
                    <w:rPr>
                      <w:rFonts w:hint="eastAsia" w:ascii="宋体" w:hAnsi="宋体" w:eastAsia="宋体"/>
                      <w:sz w:val="18"/>
                      <w:szCs w:val="18"/>
                      <w:bdr w:val="single" w:color="auto" w:sz="4" w:space="0"/>
                    </w:rPr>
                    <w:t>≤</w:t>
                  </w:r>
                  <w:r>
                    <w:rPr>
                      <w:rFonts w:ascii="宋体" w:hAnsi="宋体" w:eastAsia="宋体"/>
                      <w:sz w:val="18"/>
                      <w:szCs w:val="18"/>
                      <w:bdr w:val="single" w:color="auto" w:sz="4" w:space="0"/>
                    </w:rPr>
                    <w:t>15s</w:t>
                  </w:r>
                </w:p>
              </w:tc>
              <w:tc>
                <w:tcPr>
                  <w:tcW w:w="469" w:type="dxa"/>
                  <w:tcBorders>
                    <w:top w:val="single" w:color="auto" w:sz="4" w:space="0"/>
                    <w:left w:val="single" w:color="auto" w:sz="4" w:space="0"/>
                    <w:bottom w:val="single" w:color="auto" w:sz="8" w:space="0"/>
                    <w:right w:val="single" w:color="auto" w:sz="8" w:space="0"/>
                  </w:tcBorders>
                  <w:vAlign w:val="center"/>
                </w:tcPr>
                <w:p w14:paraId="09D54F77">
                  <w:pPr>
                    <w:spacing w:line="240" w:lineRule="auto"/>
                    <w:jc w:val="center"/>
                    <w:rPr>
                      <w:rFonts w:ascii="宋体" w:hAnsi="宋体" w:eastAsia="宋体"/>
                      <w:sz w:val="18"/>
                      <w:szCs w:val="18"/>
                      <w:u w:val="single"/>
                    </w:rPr>
                  </w:pPr>
                  <w:r>
                    <w:rPr>
                      <w:rFonts w:ascii="宋体" w:hAnsi="宋体" w:eastAsia="宋体"/>
                      <w:sz w:val="18"/>
                      <w:szCs w:val="18"/>
                      <w:bdr w:val="single" w:color="auto" w:sz="4" w:space="0"/>
                    </w:rPr>
                    <w:t>15s</w:t>
                  </w:r>
                  <w:r>
                    <w:rPr>
                      <w:rFonts w:hint="eastAsia" w:ascii="宋体" w:hAnsi="宋体" w:eastAsia="宋体"/>
                      <w:sz w:val="18"/>
                      <w:szCs w:val="18"/>
                      <w:bdr w:val="single" w:color="auto" w:sz="4" w:space="0"/>
                    </w:rPr>
                    <w:t>＜</w:t>
                  </w:r>
                  <w:r>
                    <w:rPr>
                      <w:rFonts w:ascii="宋体" w:hAnsi="宋体" w:eastAsia="宋体"/>
                      <w:sz w:val="18"/>
                      <w:szCs w:val="18"/>
                      <w:bdr w:val="single" w:color="auto" w:sz="4" w:space="0"/>
                    </w:rPr>
                    <w:t>t</w:t>
                  </w:r>
                </w:p>
              </w:tc>
            </w:tr>
            <w:tr w14:paraId="4C70F697">
              <w:tblPrEx>
                <w:tblCellMar>
                  <w:top w:w="0" w:type="dxa"/>
                  <w:left w:w="28" w:type="dxa"/>
                  <w:bottom w:w="0" w:type="dxa"/>
                  <w:right w:w="28" w:type="dxa"/>
                </w:tblCellMar>
              </w:tblPrEx>
              <w:trPr>
                <w:cantSplit/>
                <w:trHeight w:val="20" w:hRule="atLeast"/>
              </w:trPr>
              <w:tc>
                <w:tcPr>
                  <w:tcW w:w="616" w:type="dxa"/>
                  <w:vMerge w:val="restart"/>
                  <w:tcBorders>
                    <w:top w:val="single" w:color="auto" w:sz="8" w:space="0"/>
                    <w:left w:val="single" w:color="auto" w:sz="8" w:space="0"/>
                    <w:bottom w:val="single" w:color="auto" w:sz="4" w:space="0"/>
                    <w:right w:val="single" w:color="auto" w:sz="4" w:space="0"/>
                  </w:tcBorders>
                  <w:noWrap/>
                  <w:vAlign w:val="center"/>
                </w:tcPr>
                <w:p w14:paraId="3B00171C">
                  <w:pPr>
                    <w:spacing w:line="240" w:lineRule="auto"/>
                    <w:jc w:val="center"/>
                    <w:rPr>
                      <w:rFonts w:ascii="宋体" w:hAnsi="宋体" w:eastAsia="宋体"/>
                      <w:sz w:val="18"/>
                      <w:szCs w:val="18"/>
                    </w:rPr>
                  </w:pPr>
                  <w:r>
                    <w:rPr>
                      <w:rFonts w:ascii="宋体" w:hAnsi="宋体" w:eastAsia="宋体"/>
                      <w:sz w:val="18"/>
                      <w:szCs w:val="18"/>
                    </w:rPr>
                    <w:t>门诊部</w:t>
                  </w:r>
                </w:p>
              </w:tc>
              <w:tc>
                <w:tcPr>
                  <w:tcW w:w="1228" w:type="dxa"/>
                  <w:tcBorders>
                    <w:top w:val="single" w:color="auto" w:sz="8" w:space="0"/>
                    <w:left w:val="single" w:color="auto" w:sz="4" w:space="0"/>
                    <w:bottom w:val="single" w:color="auto" w:sz="4" w:space="0"/>
                    <w:right w:val="single" w:color="auto" w:sz="8" w:space="0"/>
                  </w:tcBorders>
                  <w:vAlign w:val="center"/>
                </w:tcPr>
                <w:p w14:paraId="0D8357BB">
                  <w:pPr>
                    <w:spacing w:line="240" w:lineRule="auto"/>
                    <w:jc w:val="center"/>
                    <w:rPr>
                      <w:rFonts w:ascii="宋体" w:hAnsi="宋体" w:eastAsia="宋体"/>
                      <w:sz w:val="18"/>
                      <w:szCs w:val="18"/>
                    </w:rPr>
                  </w:pPr>
                  <w:r>
                    <w:rPr>
                      <w:rFonts w:ascii="宋体" w:hAnsi="宋体" w:eastAsia="宋体"/>
                      <w:sz w:val="18"/>
                      <w:szCs w:val="18"/>
                    </w:rPr>
                    <w:t>门诊诊室</w:t>
                  </w:r>
                </w:p>
              </w:tc>
              <w:tc>
                <w:tcPr>
                  <w:tcW w:w="258" w:type="dxa"/>
                  <w:tcBorders>
                    <w:top w:val="single" w:color="auto" w:sz="8" w:space="0"/>
                    <w:left w:val="single" w:color="auto" w:sz="8" w:space="0"/>
                    <w:bottom w:val="single" w:color="auto" w:sz="4" w:space="0"/>
                    <w:right w:val="single" w:color="auto" w:sz="4" w:space="0"/>
                  </w:tcBorders>
                  <w:vAlign w:val="center"/>
                </w:tcPr>
                <w:p w14:paraId="02C94A26">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8" w:space="0"/>
                    <w:left w:val="single" w:color="auto" w:sz="4" w:space="0"/>
                    <w:bottom w:val="single" w:color="auto" w:sz="4" w:space="0"/>
                    <w:right w:val="single" w:color="auto" w:sz="4" w:space="0"/>
                  </w:tcBorders>
                  <w:vAlign w:val="center"/>
                </w:tcPr>
                <w:p w14:paraId="7F2E4388">
                  <w:pPr>
                    <w:spacing w:line="240" w:lineRule="auto"/>
                    <w:jc w:val="center"/>
                    <w:rPr>
                      <w:rFonts w:ascii="宋体" w:hAnsi="宋体" w:eastAsia="宋体"/>
                      <w:sz w:val="18"/>
                      <w:szCs w:val="18"/>
                    </w:rPr>
                  </w:pPr>
                </w:p>
              </w:tc>
              <w:tc>
                <w:tcPr>
                  <w:tcW w:w="258" w:type="dxa"/>
                  <w:tcBorders>
                    <w:top w:val="single" w:color="auto" w:sz="8" w:space="0"/>
                    <w:left w:val="single" w:color="auto" w:sz="4" w:space="0"/>
                    <w:bottom w:val="single" w:color="auto" w:sz="4" w:space="0"/>
                    <w:right w:val="single" w:color="auto" w:sz="8" w:space="0"/>
                  </w:tcBorders>
                  <w:vAlign w:val="center"/>
                </w:tcPr>
                <w:p w14:paraId="2CE1AD4C">
                  <w:pPr>
                    <w:spacing w:line="240" w:lineRule="auto"/>
                    <w:jc w:val="center"/>
                    <w:rPr>
                      <w:rFonts w:ascii="宋体" w:hAnsi="宋体" w:eastAsia="宋体"/>
                      <w:sz w:val="18"/>
                      <w:szCs w:val="18"/>
                    </w:rPr>
                  </w:pPr>
                </w:p>
              </w:tc>
              <w:tc>
                <w:tcPr>
                  <w:tcW w:w="469" w:type="dxa"/>
                  <w:tcBorders>
                    <w:top w:val="single" w:color="auto" w:sz="8" w:space="0"/>
                    <w:left w:val="single" w:color="auto" w:sz="8" w:space="0"/>
                    <w:bottom w:val="single" w:color="auto" w:sz="4" w:space="0"/>
                    <w:right w:val="single" w:color="auto" w:sz="4" w:space="0"/>
                  </w:tcBorders>
                  <w:vAlign w:val="center"/>
                </w:tcPr>
                <w:p w14:paraId="68C214F3">
                  <w:pPr>
                    <w:spacing w:line="240" w:lineRule="auto"/>
                    <w:jc w:val="center"/>
                    <w:rPr>
                      <w:rFonts w:ascii="宋体" w:hAnsi="宋体" w:eastAsia="宋体"/>
                      <w:sz w:val="18"/>
                      <w:szCs w:val="18"/>
                    </w:rPr>
                  </w:pPr>
                </w:p>
              </w:tc>
              <w:tc>
                <w:tcPr>
                  <w:tcW w:w="469" w:type="dxa"/>
                  <w:tcBorders>
                    <w:top w:val="single" w:color="auto" w:sz="8" w:space="0"/>
                    <w:left w:val="single" w:color="auto" w:sz="4" w:space="0"/>
                    <w:bottom w:val="single" w:color="auto" w:sz="4" w:space="0"/>
                    <w:right w:val="single" w:color="auto" w:sz="4" w:space="0"/>
                  </w:tcBorders>
                  <w:vAlign w:val="center"/>
                </w:tcPr>
                <w:p w14:paraId="78AA8E08">
                  <w:pPr>
                    <w:spacing w:line="240" w:lineRule="auto"/>
                    <w:jc w:val="center"/>
                    <w:rPr>
                      <w:rFonts w:ascii="宋体" w:hAnsi="宋体" w:eastAsia="宋体"/>
                      <w:sz w:val="18"/>
                      <w:szCs w:val="18"/>
                    </w:rPr>
                  </w:pPr>
                </w:p>
              </w:tc>
              <w:tc>
                <w:tcPr>
                  <w:tcW w:w="469" w:type="dxa"/>
                  <w:tcBorders>
                    <w:top w:val="single" w:color="auto" w:sz="8" w:space="0"/>
                    <w:left w:val="single" w:color="auto" w:sz="4" w:space="0"/>
                    <w:bottom w:val="single" w:color="auto" w:sz="4" w:space="0"/>
                    <w:right w:val="single" w:color="auto" w:sz="8" w:space="0"/>
                  </w:tcBorders>
                  <w:vAlign w:val="center"/>
                </w:tcPr>
                <w:p w14:paraId="4217CE5B">
                  <w:pPr>
                    <w:spacing w:line="240" w:lineRule="auto"/>
                    <w:jc w:val="center"/>
                    <w:rPr>
                      <w:rFonts w:ascii="宋体" w:hAnsi="宋体" w:eastAsia="宋体"/>
                      <w:sz w:val="18"/>
                      <w:szCs w:val="18"/>
                    </w:rPr>
                  </w:pPr>
                </w:p>
              </w:tc>
            </w:tr>
            <w:tr w14:paraId="08D778E8">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24B0D6C0">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2F2B39B3">
                  <w:pPr>
                    <w:spacing w:line="240" w:lineRule="auto"/>
                    <w:jc w:val="center"/>
                    <w:rPr>
                      <w:rFonts w:ascii="宋体" w:hAnsi="宋体" w:eastAsia="宋体"/>
                      <w:sz w:val="18"/>
                      <w:szCs w:val="18"/>
                    </w:rPr>
                  </w:pPr>
                  <w:r>
                    <w:rPr>
                      <w:rFonts w:ascii="宋体" w:hAnsi="宋体" w:eastAsia="宋体"/>
                      <w:sz w:val="18"/>
                      <w:szCs w:val="18"/>
                    </w:rPr>
                    <w:t>门诊治疗室</w:t>
                  </w:r>
                </w:p>
              </w:tc>
              <w:tc>
                <w:tcPr>
                  <w:tcW w:w="258" w:type="dxa"/>
                  <w:tcBorders>
                    <w:top w:val="single" w:color="auto" w:sz="4" w:space="0"/>
                    <w:left w:val="single" w:color="auto" w:sz="8" w:space="0"/>
                    <w:bottom w:val="single" w:color="auto" w:sz="4" w:space="0"/>
                    <w:right w:val="single" w:color="auto" w:sz="4" w:space="0"/>
                  </w:tcBorders>
                  <w:vAlign w:val="center"/>
                </w:tcPr>
                <w:p w14:paraId="2851597A">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53E261CE">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2ECEF66D">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54D07E3A">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5D874D9C">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2AB95202">
                  <w:pPr>
                    <w:spacing w:line="240" w:lineRule="auto"/>
                    <w:jc w:val="center"/>
                    <w:rPr>
                      <w:rFonts w:ascii="宋体" w:hAnsi="宋体" w:eastAsia="宋体"/>
                      <w:sz w:val="18"/>
                      <w:szCs w:val="18"/>
                    </w:rPr>
                  </w:pPr>
                  <w:r>
                    <w:rPr>
                      <w:rFonts w:ascii="宋体" w:hAnsi="宋体" w:eastAsia="宋体"/>
                      <w:sz w:val="18"/>
                      <w:szCs w:val="18"/>
                    </w:rPr>
                    <w:t>X</w:t>
                  </w:r>
                </w:p>
              </w:tc>
            </w:tr>
            <w:tr w14:paraId="01C0629C">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4D461813">
                  <w:pPr>
                    <w:spacing w:line="240" w:lineRule="auto"/>
                    <w:jc w:val="center"/>
                    <w:rPr>
                      <w:rFonts w:ascii="宋体" w:hAnsi="宋体" w:eastAsia="宋体"/>
                      <w:sz w:val="18"/>
                      <w:szCs w:val="18"/>
                    </w:rPr>
                  </w:pPr>
                  <w:r>
                    <w:rPr>
                      <w:rFonts w:ascii="宋体" w:hAnsi="宋体" w:eastAsia="宋体"/>
                      <w:sz w:val="18"/>
                      <w:szCs w:val="18"/>
                    </w:rPr>
                    <w:t>急诊部</w:t>
                  </w:r>
                </w:p>
              </w:tc>
              <w:tc>
                <w:tcPr>
                  <w:tcW w:w="1228" w:type="dxa"/>
                  <w:tcBorders>
                    <w:top w:val="single" w:color="auto" w:sz="4" w:space="0"/>
                    <w:left w:val="single" w:color="auto" w:sz="4" w:space="0"/>
                    <w:bottom w:val="single" w:color="auto" w:sz="4" w:space="0"/>
                    <w:right w:val="single" w:color="auto" w:sz="8" w:space="0"/>
                  </w:tcBorders>
                  <w:vAlign w:val="center"/>
                </w:tcPr>
                <w:p w14:paraId="151668CC">
                  <w:pPr>
                    <w:spacing w:line="240" w:lineRule="auto"/>
                    <w:jc w:val="center"/>
                    <w:rPr>
                      <w:rFonts w:ascii="宋体" w:hAnsi="宋体" w:eastAsia="宋体"/>
                      <w:sz w:val="18"/>
                      <w:szCs w:val="18"/>
                    </w:rPr>
                  </w:pPr>
                  <w:r>
                    <w:rPr>
                      <w:rFonts w:ascii="宋体" w:hAnsi="宋体" w:eastAsia="宋体"/>
                      <w:sz w:val="18"/>
                      <w:szCs w:val="18"/>
                    </w:rPr>
                    <w:t>急诊诊室</w:t>
                  </w:r>
                </w:p>
              </w:tc>
              <w:tc>
                <w:tcPr>
                  <w:tcW w:w="258" w:type="dxa"/>
                  <w:tcBorders>
                    <w:top w:val="single" w:color="auto" w:sz="4" w:space="0"/>
                    <w:left w:val="single" w:color="auto" w:sz="8" w:space="0"/>
                    <w:bottom w:val="single" w:color="auto" w:sz="4" w:space="0"/>
                    <w:right w:val="single" w:color="auto" w:sz="4" w:space="0"/>
                  </w:tcBorders>
                  <w:vAlign w:val="center"/>
                </w:tcPr>
                <w:p w14:paraId="17BF100F">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17D7E0E6">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4FDB9C0A">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36FE0639">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4A418356">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E5850C9">
                  <w:pPr>
                    <w:spacing w:line="240" w:lineRule="auto"/>
                    <w:jc w:val="center"/>
                    <w:rPr>
                      <w:rFonts w:ascii="宋体" w:hAnsi="宋体" w:eastAsia="宋体"/>
                      <w:sz w:val="18"/>
                      <w:szCs w:val="18"/>
                    </w:rPr>
                  </w:pPr>
                </w:p>
              </w:tc>
            </w:tr>
            <w:tr w14:paraId="565B390B">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4C93B890">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5A1C4780">
                  <w:pPr>
                    <w:spacing w:line="240" w:lineRule="auto"/>
                    <w:jc w:val="center"/>
                    <w:rPr>
                      <w:rFonts w:ascii="宋体" w:hAnsi="宋体" w:eastAsia="宋体"/>
                      <w:sz w:val="18"/>
                      <w:szCs w:val="18"/>
                      <w:u w:val="single"/>
                    </w:rPr>
                  </w:pPr>
                  <w:r>
                    <w:rPr>
                      <w:rFonts w:ascii="宋体" w:hAnsi="宋体" w:eastAsia="宋体"/>
                      <w:sz w:val="18"/>
                      <w:szCs w:val="18"/>
                    </w:rPr>
                    <w:t>急诊抢救室</w:t>
                  </w:r>
                </w:p>
              </w:tc>
              <w:tc>
                <w:tcPr>
                  <w:tcW w:w="258" w:type="dxa"/>
                  <w:tcBorders>
                    <w:top w:val="single" w:color="auto" w:sz="4" w:space="0"/>
                    <w:left w:val="single" w:color="auto" w:sz="8" w:space="0"/>
                    <w:bottom w:val="single" w:color="auto" w:sz="4" w:space="0"/>
                    <w:right w:val="single" w:color="auto" w:sz="4" w:space="0"/>
                  </w:tcBorders>
                  <w:vAlign w:val="center"/>
                </w:tcPr>
                <w:p w14:paraId="09EFEC85">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545156D3">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4F7CB272">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8" w:space="0"/>
                    <w:bottom w:val="single" w:color="auto" w:sz="4" w:space="0"/>
                    <w:right w:val="single" w:color="auto" w:sz="4" w:space="0"/>
                  </w:tcBorders>
                  <w:vAlign w:val="center"/>
                </w:tcPr>
                <w:p w14:paraId="7DD6986D">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2CA285B6">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71F0512F">
                  <w:pPr>
                    <w:spacing w:line="240" w:lineRule="auto"/>
                    <w:jc w:val="center"/>
                    <w:rPr>
                      <w:rFonts w:ascii="宋体" w:hAnsi="宋体" w:eastAsia="宋体"/>
                      <w:sz w:val="18"/>
                      <w:szCs w:val="18"/>
                    </w:rPr>
                  </w:pPr>
                </w:p>
              </w:tc>
            </w:tr>
            <w:tr w14:paraId="61D40D25">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04A843E6">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46418D6B">
                  <w:pPr>
                    <w:spacing w:line="240" w:lineRule="auto"/>
                    <w:jc w:val="center"/>
                    <w:rPr>
                      <w:rFonts w:ascii="宋体" w:hAnsi="宋体" w:eastAsia="宋体"/>
                      <w:sz w:val="18"/>
                      <w:szCs w:val="18"/>
                    </w:rPr>
                  </w:pPr>
                  <w:r>
                    <w:rPr>
                      <w:rFonts w:ascii="宋体" w:hAnsi="宋体" w:eastAsia="宋体"/>
                      <w:sz w:val="18"/>
                      <w:szCs w:val="18"/>
                    </w:rPr>
                    <w:t>急诊观察室、处置室</w:t>
                  </w:r>
                </w:p>
              </w:tc>
              <w:tc>
                <w:tcPr>
                  <w:tcW w:w="258" w:type="dxa"/>
                  <w:tcBorders>
                    <w:top w:val="single" w:color="auto" w:sz="4" w:space="0"/>
                    <w:left w:val="single" w:color="auto" w:sz="8" w:space="0"/>
                    <w:bottom w:val="single" w:color="auto" w:sz="4" w:space="0"/>
                    <w:right w:val="single" w:color="auto" w:sz="4" w:space="0"/>
                  </w:tcBorders>
                  <w:vAlign w:val="center"/>
                </w:tcPr>
                <w:p w14:paraId="5BDB2AEB">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020A6C8A">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64F2A493">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4BA08F5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69A70731">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7CBCACD">
                  <w:pPr>
                    <w:spacing w:line="240" w:lineRule="auto"/>
                    <w:jc w:val="center"/>
                    <w:rPr>
                      <w:rFonts w:ascii="宋体" w:hAnsi="宋体" w:eastAsia="宋体"/>
                      <w:sz w:val="18"/>
                      <w:szCs w:val="18"/>
                    </w:rPr>
                  </w:pPr>
                </w:p>
              </w:tc>
            </w:tr>
            <w:tr w14:paraId="6478768D">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1F0921CF">
                  <w:pPr>
                    <w:spacing w:line="240" w:lineRule="auto"/>
                    <w:jc w:val="center"/>
                    <w:rPr>
                      <w:rFonts w:ascii="宋体" w:hAnsi="宋体" w:eastAsia="宋体"/>
                      <w:sz w:val="18"/>
                      <w:szCs w:val="18"/>
                    </w:rPr>
                  </w:pPr>
                  <w:r>
                    <w:rPr>
                      <w:rFonts w:ascii="宋体" w:hAnsi="宋体" w:eastAsia="宋体"/>
                      <w:sz w:val="18"/>
                      <w:szCs w:val="18"/>
                    </w:rPr>
                    <w:t>住院部</w:t>
                  </w:r>
                </w:p>
              </w:tc>
              <w:tc>
                <w:tcPr>
                  <w:tcW w:w="1228" w:type="dxa"/>
                  <w:tcBorders>
                    <w:top w:val="single" w:color="auto" w:sz="4" w:space="0"/>
                    <w:left w:val="single" w:color="auto" w:sz="4" w:space="0"/>
                    <w:bottom w:val="single" w:color="auto" w:sz="4" w:space="0"/>
                    <w:right w:val="single" w:color="auto" w:sz="8" w:space="0"/>
                  </w:tcBorders>
                  <w:vAlign w:val="center"/>
                </w:tcPr>
                <w:p w14:paraId="3C62B2C1">
                  <w:pPr>
                    <w:spacing w:line="240" w:lineRule="auto"/>
                    <w:jc w:val="center"/>
                    <w:rPr>
                      <w:rFonts w:ascii="宋体" w:hAnsi="宋体" w:eastAsia="宋体"/>
                      <w:sz w:val="18"/>
                      <w:szCs w:val="18"/>
                    </w:rPr>
                  </w:pPr>
                  <w:r>
                    <w:rPr>
                      <w:rFonts w:ascii="宋体" w:hAnsi="宋体" w:eastAsia="宋体"/>
                      <w:sz w:val="18"/>
                      <w:szCs w:val="18"/>
                    </w:rPr>
                    <w:t>病房</w:t>
                  </w:r>
                </w:p>
              </w:tc>
              <w:tc>
                <w:tcPr>
                  <w:tcW w:w="258" w:type="dxa"/>
                  <w:tcBorders>
                    <w:top w:val="single" w:color="auto" w:sz="4" w:space="0"/>
                    <w:left w:val="single" w:color="auto" w:sz="8" w:space="0"/>
                    <w:bottom w:val="single" w:color="auto" w:sz="4" w:space="0"/>
                    <w:right w:val="single" w:color="auto" w:sz="4" w:space="0"/>
                  </w:tcBorders>
                  <w:vAlign w:val="center"/>
                </w:tcPr>
                <w:p w14:paraId="31706490">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3FCEC8F8">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7B00B811">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65A26C8B">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232B00D1">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43CB101E">
                  <w:pPr>
                    <w:spacing w:line="240" w:lineRule="auto"/>
                    <w:jc w:val="center"/>
                    <w:rPr>
                      <w:rFonts w:ascii="宋体" w:hAnsi="宋体" w:eastAsia="宋体"/>
                      <w:sz w:val="18"/>
                      <w:szCs w:val="18"/>
                    </w:rPr>
                  </w:pPr>
                  <w:r>
                    <w:rPr>
                      <w:rFonts w:ascii="宋体" w:hAnsi="宋体" w:eastAsia="宋体"/>
                      <w:sz w:val="18"/>
                      <w:szCs w:val="18"/>
                    </w:rPr>
                    <w:t>X</w:t>
                  </w:r>
                </w:p>
              </w:tc>
            </w:tr>
            <w:tr w14:paraId="0B0133D3">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7C68F8FA">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62249564">
                  <w:pPr>
                    <w:spacing w:line="240" w:lineRule="auto"/>
                    <w:jc w:val="center"/>
                    <w:rPr>
                      <w:rFonts w:ascii="宋体" w:hAnsi="宋体" w:eastAsia="宋体"/>
                      <w:sz w:val="18"/>
                      <w:szCs w:val="18"/>
                    </w:rPr>
                  </w:pPr>
                  <w:r>
                    <w:rPr>
                      <w:rFonts w:hint="eastAsia" w:ascii="宋体" w:hAnsi="宋体" w:eastAsia="宋体"/>
                      <w:sz w:val="18"/>
                      <w:szCs w:val="18"/>
                    </w:rPr>
                    <w:t>血液病房的净化室、</w:t>
                  </w:r>
                  <w:r>
                    <w:rPr>
                      <w:rFonts w:ascii="宋体" w:hAnsi="宋体" w:eastAsia="宋体"/>
                      <w:sz w:val="18"/>
                      <w:szCs w:val="18"/>
                    </w:rPr>
                    <w:t>产房、</w:t>
                  </w:r>
                  <w:r>
                    <w:rPr>
                      <w:rFonts w:hint="eastAsia" w:ascii="宋体" w:hAnsi="宋体" w:eastAsia="宋体"/>
                      <w:sz w:val="18"/>
                      <w:szCs w:val="18"/>
                    </w:rPr>
                    <w:t>烧伤病房</w:t>
                  </w:r>
                </w:p>
              </w:tc>
              <w:tc>
                <w:tcPr>
                  <w:tcW w:w="258" w:type="dxa"/>
                  <w:tcBorders>
                    <w:top w:val="single" w:color="auto" w:sz="4" w:space="0"/>
                    <w:left w:val="single" w:color="auto" w:sz="8" w:space="0"/>
                    <w:bottom w:val="single" w:color="auto" w:sz="4" w:space="0"/>
                    <w:right w:val="single" w:color="auto" w:sz="4" w:space="0"/>
                  </w:tcBorders>
                  <w:vAlign w:val="center"/>
                </w:tcPr>
                <w:p w14:paraId="3083FFDC">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52FB6F4A">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12E957F5">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1CDFFEF7">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5844FC9B">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699BACF5">
                  <w:pPr>
                    <w:spacing w:line="240" w:lineRule="auto"/>
                    <w:jc w:val="center"/>
                    <w:rPr>
                      <w:rFonts w:ascii="宋体" w:hAnsi="宋体" w:eastAsia="宋体"/>
                      <w:sz w:val="18"/>
                      <w:szCs w:val="18"/>
                    </w:rPr>
                  </w:pPr>
                </w:p>
              </w:tc>
            </w:tr>
            <w:tr w14:paraId="5C958F1F">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482DD156">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20C4A61D">
                  <w:pPr>
                    <w:spacing w:line="240" w:lineRule="auto"/>
                    <w:jc w:val="center"/>
                    <w:rPr>
                      <w:rFonts w:ascii="宋体" w:hAnsi="宋体" w:eastAsia="宋体"/>
                      <w:sz w:val="18"/>
                      <w:szCs w:val="18"/>
                    </w:rPr>
                  </w:pPr>
                  <w:r>
                    <w:rPr>
                      <w:rFonts w:ascii="宋体" w:hAnsi="宋体" w:eastAsia="宋体"/>
                      <w:sz w:val="18"/>
                      <w:szCs w:val="18"/>
                    </w:rPr>
                    <w:t>早产儿监护室</w:t>
                  </w:r>
                </w:p>
              </w:tc>
              <w:tc>
                <w:tcPr>
                  <w:tcW w:w="258" w:type="dxa"/>
                  <w:tcBorders>
                    <w:top w:val="single" w:color="auto" w:sz="4" w:space="0"/>
                    <w:left w:val="single" w:color="auto" w:sz="8" w:space="0"/>
                    <w:bottom w:val="single" w:color="auto" w:sz="4" w:space="0"/>
                    <w:right w:val="single" w:color="auto" w:sz="4" w:space="0"/>
                  </w:tcBorders>
                  <w:vAlign w:val="center"/>
                </w:tcPr>
                <w:p w14:paraId="33256028">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3BE6AC28">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1B675B44">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8" w:space="0"/>
                    <w:bottom w:val="single" w:color="auto" w:sz="4" w:space="0"/>
                    <w:right w:val="single" w:color="auto" w:sz="4" w:space="0"/>
                  </w:tcBorders>
                  <w:vAlign w:val="center"/>
                </w:tcPr>
                <w:p w14:paraId="67250649">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126EFC68">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6D5EC1C">
                  <w:pPr>
                    <w:spacing w:line="240" w:lineRule="auto"/>
                    <w:jc w:val="center"/>
                    <w:rPr>
                      <w:rFonts w:ascii="宋体" w:hAnsi="宋体" w:eastAsia="宋体"/>
                      <w:sz w:val="18"/>
                      <w:szCs w:val="18"/>
                    </w:rPr>
                  </w:pPr>
                </w:p>
              </w:tc>
            </w:tr>
            <w:tr w14:paraId="349793EE">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70A09191">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5AFD6ACD">
                  <w:pPr>
                    <w:spacing w:line="240" w:lineRule="auto"/>
                    <w:jc w:val="center"/>
                    <w:rPr>
                      <w:rFonts w:ascii="宋体" w:hAnsi="宋体" w:eastAsia="宋体"/>
                      <w:sz w:val="18"/>
                      <w:szCs w:val="18"/>
                    </w:rPr>
                  </w:pPr>
                  <w:r>
                    <w:rPr>
                      <w:rFonts w:ascii="宋体" w:hAnsi="宋体" w:eastAsia="宋体"/>
                      <w:sz w:val="18"/>
                      <w:szCs w:val="18"/>
                    </w:rPr>
                    <w:t>婴儿室</w:t>
                  </w:r>
                </w:p>
              </w:tc>
              <w:tc>
                <w:tcPr>
                  <w:tcW w:w="258" w:type="dxa"/>
                  <w:tcBorders>
                    <w:top w:val="single" w:color="auto" w:sz="4" w:space="0"/>
                    <w:left w:val="single" w:color="auto" w:sz="8" w:space="0"/>
                    <w:bottom w:val="single" w:color="auto" w:sz="4" w:space="0"/>
                    <w:right w:val="single" w:color="auto" w:sz="4" w:space="0"/>
                  </w:tcBorders>
                  <w:vAlign w:val="center"/>
                </w:tcPr>
                <w:p w14:paraId="46F70F84">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0F1B1B04">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1DE816B0">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6BBB142F">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03023C66">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07D3C922">
                  <w:pPr>
                    <w:spacing w:line="240" w:lineRule="auto"/>
                    <w:jc w:val="center"/>
                    <w:rPr>
                      <w:rFonts w:ascii="宋体" w:hAnsi="宋体" w:eastAsia="宋体"/>
                      <w:sz w:val="18"/>
                      <w:szCs w:val="18"/>
                    </w:rPr>
                  </w:pPr>
                </w:p>
              </w:tc>
            </w:tr>
            <w:tr w14:paraId="3FE3E549">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3612CEAE">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0A8FAC0D">
                  <w:pPr>
                    <w:spacing w:line="240" w:lineRule="auto"/>
                    <w:jc w:val="center"/>
                    <w:rPr>
                      <w:rFonts w:ascii="宋体" w:hAnsi="宋体" w:eastAsia="宋体"/>
                      <w:sz w:val="18"/>
                      <w:szCs w:val="18"/>
                    </w:rPr>
                  </w:pPr>
                  <w:r>
                    <w:rPr>
                      <w:rFonts w:ascii="宋体" w:hAnsi="宋体" w:eastAsia="宋体"/>
                      <w:sz w:val="18"/>
                      <w:szCs w:val="18"/>
                    </w:rPr>
                    <w:t>重症监护室</w:t>
                  </w:r>
                </w:p>
              </w:tc>
              <w:tc>
                <w:tcPr>
                  <w:tcW w:w="258" w:type="dxa"/>
                  <w:tcBorders>
                    <w:top w:val="single" w:color="auto" w:sz="4" w:space="0"/>
                    <w:left w:val="single" w:color="auto" w:sz="8" w:space="0"/>
                    <w:bottom w:val="single" w:color="auto" w:sz="4" w:space="0"/>
                    <w:right w:val="single" w:color="auto" w:sz="4" w:space="0"/>
                  </w:tcBorders>
                  <w:vAlign w:val="center"/>
                </w:tcPr>
                <w:p w14:paraId="44C82319">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4CF74EA6">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4691049B">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8" w:space="0"/>
                    <w:bottom w:val="single" w:color="auto" w:sz="4" w:space="0"/>
                    <w:right w:val="single" w:color="auto" w:sz="4" w:space="0"/>
                  </w:tcBorders>
                  <w:vAlign w:val="center"/>
                </w:tcPr>
                <w:p w14:paraId="446A8108">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44E4D7C3">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1A363519">
                  <w:pPr>
                    <w:spacing w:line="240" w:lineRule="auto"/>
                    <w:jc w:val="center"/>
                    <w:rPr>
                      <w:rFonts w:ascii="宋体" w:hAnsi="宋体" w:eastAsia="宋体"/>
                      <w:sz w:val="18"/>
                      <w:szCs w:val="18"/>
                    </w:rPr>
                  </w:pPr>
                </w:p>
              </w:tc>
            </w:tr>
            <w:tr w14:paraId="1C3E235A">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24DFE6D5">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3CA72D88">
                  <w:pPr>
                    <w:spacing w:line="240" w:lineRule="auto"/>
                    <w:jc w:val="center"/>
                    <w:rPr>
                      <w:rFonts w:ascii="宋体" w:hAnsi="宋体" w:eastAsia="宋体"/>
                      <w:sz w:val="18"/>
                      <w:szCs w:val="18"/>
                    </w:rPr>
                  </w:pPr>
                  <w:r>
                    <w:rPr>
                      <w:rFonts w:ascii="宋体" w:hAnsi="宋体" w:eastAsia="宋体"/>
                      <w:sz w:val="18"/>
                      <w:szCs w:val="18"/>
                    </w:rPr>
                    <w:t>血液透析室</w:t>
                  </w:r>
                </w:p>
              </w:tc>
              <w:tc>
                <w:tcPr>
                  <w:tcW w:w="258" w:type="dxa"/>
                  <w:tcBorders>
                    <w:top w:val="single" w:color="auto" w:sz="4" w:space="0"/>
                    <w:left w:val="single" w:color="auto" w:sz="8" w:space="0"/>
                    <w:bottom w:val="single" w:color="auto" w:sz="4" w:space="0"/>
                    <w:right w:val="single" w:color="auto" w:sz="4" w:space="0"/>
                  </w:tcBorders>
                  <w:vAlign w:val="center"/>
                </w:tcPr>
                <w:p w14:paraId="748A7E10">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00132CD8">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7AAC05D9">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34695C8E">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49108B7A">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1AC3A3A2">
                  <w:pPr>
                    <w:spacing w:line="240" w:lineRule="auto"/>
                    <w:jc w:val="center"/>
                    <w:rPr>
                      <w:rFonts w:ascii="宋体" w:hAnsi="宋体" w:eastAsia="宋体"/>
                      <w:sz w:val="18"/>
                      <w:szCs w:val="18"/>
                    </w:rPr>
                  </w:pPr>
                </w:p>
              </w:tc>
            </w:tr>
            <w:tr w14:paraId="19ADEF75">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16DEE3E1">
                  <w:pPr>
                    <w:spacing w:line="240" w:lineRule="auto"/>
                    <w:jc w:val="center"/>
                    <w:rPr>
                      <w:rFonts w:ascii="宋体" w:hAnsi="宋体" w:eastAsia="宋体"/>
                      <w:sz w:val="18"/>
                      <w:szCs w:val="18"/>
                    </w:rPr>
                  </w:pPr>
                  <w:r>
                    <w:rPr>
                      <w:rFonts w:ascii="宋体" w:hAnsi="宋体" w:eastAsia="宋体"/>
                      <w:sz w:val="18"/>
                      <w:szCs w:val="18"/>
                    </w:rPr>
                    <w:t>手术部</w:t>
                  </w:r>
                </w:p>
              </w:tc>
              <w:tc>
                <w:tcPr>
                  <w:tcW w:w="1228" w:type="dxa"/>
                  <w:tcBorders>
                    <w:top w:val="single" w:color="auto" w:sz="4" w:space="0"/>
                    <w:left w:val="single" w:color="auto" w:sz="4" w:space="0"/>
                    <w:bottom w:val="single" w:color="auto" w:sz="4" w:space="0"/>
                    <w:right w:val="single" w:color="auto" w:sz="8" w:space="0"/>
                  </w:tcBorders>
                  <w:vAlign w:val="center"/>
                </w:tcPr>
                <w:p w14:paraId="7FD8DA58">
                  <w:pPr>
                    <w:spacing w:line="240" w:lineRule="auto"/>
                    <w:jc w:val="center"/>
                    <w:rPr>
                      <w:rFonts w:ascii="宋体" w:hAnsi="宋体" w:eastAsia="宋体"/>
                      <w:sz w:val="18"/>
                      <w:szCs w:val="18"/>
                    </w:rPr>
                  </w:pPr>
                  <w:r>
                    <w:rPr>
                      <w:rFonts w:ascii="宋体" w:hAnsi="宋体" w:eastAsia="宋体"/>
                      <w:sz w:val="18"/>
                      <w:szCs w:val="18"/>
                    </w:rPr>
                    <w:t>手术室</w:t>
                  </w:r>
                </w:p>
              </w:tc>
              <w:tc>
                <w:tcPr>
                  <w:tcW w:w="258" w:type="dxa"/>
                  <w:tcBorders>
                    <w:top w:val="single" w:color="auto" w:sz="4" w:space="0"/>
                    <w:left w:val="single" w:color="auto" w:sz="8" w:space="0"/>
                    <w:bottom w:val="single" w:color="auto" w:sz="4" w:space="0"/>
                    <w:right w:val="single" w:color="auto" w:sz="4" w:space="0"/>
                  </w:tcBorders>
                  <w:vAlign w:val="center"/>
                </w:tcPr>
                <w:p w14:paraId="3D3D573B">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7548569C">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732F9940">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8" w:space="0"/>
                    <w:bottom w:val="single" w:color="auto" w:sz="4" w:space="0"/>
                    <w:right w:val="single" w:color="auto" w:sz="4" w:space="0"/>
                  </w:tcBorders>
                  <w:vAlign w:val="center"/>
                </w:tcPr>
                <w:p w14:paraId="041732C0">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0902A507">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581B6A3">
                  <w:pPr>
                    <w:spacing w:line="240" w:lineRule="auto"/>
                    <w:jc w:val="center"/>
                    <w:rPr>
                      <w:rFonts w:ascii="宋体" w:hAnsi="宋体" w:eastAsia="宋体"/>
                      <w:sz w:val="18"/>
                      <w:szCs w:val="18"/>
                    </w:rPr>
                  </w:pPr>
                </w:p>
              </w:tc>
            </w:tr>
            <w:tr w14:paraId="14E3A844">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40C81C9E">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57FEAD51">
                  <w:pPr>
                    <w:spacing w:line="240" w:lineRule="auto"/>
                    <w:jc w:val="center"/>
                    <w:rPr>
                      <w:rFonts w:ascii="宋体" w:hAnsi="宋体" w:eastAsia="宋体"/>
                      <w:sz w:val="18"/>
                      <w:szCs w:val="18"/>
                    </w:rPr>
                  </w:pPr>
                  <w:r>
                    <w:rPr>
                      <w:rFonts w:ascii="宋体" w:hAnsi="宋体" w:eastAsia="宋体"/>
                      <w:sz w:val="18"/>
                      <w:szCs w:val="18"/>
                    </w:rPr>
                    <w:t>术前准备室、术后复苏室、麻醉室</w:t>
                  </w:r>
                </w:p>
              </w:tc>
              <w:tc>
                <w:tcPr>
                  <w:tcW w:w="258" w:type="dxa"/>
                  <w:tcBorders>
                    <w:top w:val="single" w:color="auto" w:sz="4" w:space="0"/>
                    <w:left w:val="single" w:color="auto" w:sz="8" w:space="0"/>
                    <w:bottom w:val="single" w:color="auto" w:sz="4" w:space="0"/>
                    <w:right w:val="single" w:color="auto" w:sz="4" w:space="0"/>
                  </w:tcBorders>
                  <w:vAlign w:val="center"/>
                </w:tcPr>
                <w:p w14:paraId="604BE70C">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5AEBA368">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258" w:type="dxa"/>
                  <w:tcBorders>
                    <w:top w:val="single" w:color="auto" w:sz="4" w:space="0"/>
                    <w:left w:val="single" w:color="auto" w:sz="4" w:space="0"/>
                    <w:bottom w:val="single" w:color="auto" w:sz="4" w:space="0"/>
                    <w:right w:val="single" w:color="auto" w:sz="8" w:space="0"/>
                  </w:tcBorders>
                  <w:vAlign w:val="center"/>
                </w:tcPr>
                <w:p w14:paraId="1CE8A3C7">
                  <w:pPr>
                    <w:spacing w:line="240" w:lineRule="auto"/>
                    <w:jc w:val="center"/>
                    <w:rPr>
                      <w:rFonts w:ascii="宋体" w:hAnsi="宋体" w:eastAsia="宋体"/>
                      <w:sz w:val="18"/>
                      <w:szCs w:val="18"/>
                      <w:u w:val="single"/>
                    </w:rPr>
                  </w:pPr>
                </w:p>
              </w:tc>
              <w:tc>
                <w:tcPr>
                  <w:tcW w:w="469" w:type="dxa"/>
                  <w:tcBorders>
                    <w:top w:val="single" w:color="auto" w:sz="4" w:space="0"/>
                    <w:left w:val="single" w:color="auto" w:sz="8" w:space="0"/>
                    <w:bottom w:val="single" w:color="auto" w:sz="4" w:space="0"/>
                    <w:right w:val="single" w:color="auto" w:sz="4" w:space="0"/>
                  </w:tcBorders>
                  <w:vAlign w:val="center"/>
                </w:tcPr>
                <w:p w14:paraId="23DFB85A">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58B00ADE">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749DCCFF">
                  <w:pPr>
                    <w:spacing w:line="240" w:lineRule="auto"/>
                    <w:jc w:val="center"/>
                    <w:rPr>
                      <w:rFonts w:ascii="宋体" w:hAnsi="宋体" w:eastAsia="宋体"/>
                      <w:sz w:val="18"/>
                      <w:szCs w:val="18"/>
                    </w:rPr>
                  </w:pPr>
                </w:p>
              </w:tc>
            </w:tr>
            <w:tr w14:paraId="55781B8B">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7CBAEA4D">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29BB959E">
                  <w:pPr>
                    <w:spacing w:line="240" w:lineRule="auto"/>
                    <w:jc w:val="center"/>
                    <w:rPr>
                      <w:rFonts w:ascii="宋体" w:hAnsi="宋体" w:eastAsia="宋体"/>
                      <w:sz w:val="18"/>
                      <w:szCs w:val="18"/>
                    </w:rPr>
                  </w:pPr>
                  <w:r>
                    <w:rPr>
                      <w:rFonts w:ascii="宋体" w:hAnsi="宋体" w:eastAsia="宋体"/>
                      <w:sz w:val="18"/>
                      <w:szCs w:val="18"/>
                    </w:rPr>
                    <w:t>护士站、麻醉师办公室、石膏室、冰冻切片室、敷料制作室、消毒敷料</w:t>
                  </w:r>
                  <w:r>
                    <w:rPr>
                      <w:rFonts w:hint="eastAsia" w:ascii="宋体" w:hAnsi="宋体" w:eastAsia="宋体"/>
                      <w:sz w:val="18"/>
                      <w:szCs w:val="18"/>
                    </w:rPr>
                    <w:t>室</w:t>
                  </w:r>
                </w:p>
              </w:tc>
              <w:tc>
                <w:tcPr>
                  <w:tcW w:w="258" w:type="dxa"/>
                  <w:tcBorders>
                    <w:top w:val="single" w:color="auto" w:sz="4" w:space="0"/>
                    <w:left w:val="single" w:color="auto" w:sz="8" w:space="0"/>
                    <w:bottom w:val="single" w:color="auto" w:sz="4" w:space="0"/>
                    <w:right w:val="single" w:color="auto" w:sz="4" w:space="0"/>
                  </w:tcBorders>
                  <w:vAlign w:val="center"/>
                </w:tcPr>
                <w:p w14:paraId="1C679BCD">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4DD0D34D">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5F4703EB">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426E2B2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17798C40">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2D061F02">
                  <w:pPr>
                    <w:spacing w:line="240" w:lineRule="auto"/>
                    <w:jc w:val="center"/>
                    <w:rPr>
                      <w:rFonts w:ascii="宋体" w:hAnsi="宋体" w:eastAsia="宋体"/>
                      <w:sz w:val="18"/>
                      <w:szCs w:val="18"/>
                    </w:rPr>
                  </w:pPr>
                </w:p>
              </w:tc>
            </w:tr>
            <w:tr w14:paraId="23B23163">
              <w:tblPrEx>
                <w:tblCellMar>
                  <w:top w:w="0" w:type="dxa"/>
                  <w:left w:w="28" w:type="dxa"/>
                  <w:bottom w:w="0" w:type="dxa"/>
                  <w:right w:w="28" w:type="dxa"/>
                </w:tblCellMar>
              </w:tblPrEx>
              <w:trPr>
                <w:trHeight w:val="20" w:hRule="atLeast"/>
              </w:trPr>
              <w:tc>
                <w:tcPr>
                  <w:tcW w:w="616" w:type="dxa"/>
                  <w:tcBorders>
                    <w:top w:val="single" w:color="auto" w:sz="4" w:space="0"/>
                    <w:left w:val="single" w:color="auto" w:sz="8" w:space="0"/>
                    <w:bottom w:val="single" w:color="auto" w:sz="4" w:space="0"/>
                    <w:right w:val="single" w:color="auto" w:sz="4" w:space="0"/>
                  </w:tcBorders>
                  <w:noWrap/>
                  <w:vAlign w:val="center"/>
                </w:tcPr>
                <w:p w14:paraId="7BC57BD5">
                  <w:pPr>
                    <w:spacing w:line="240" w:lineRule="auto"/>
                    <w:jc w:val="center"/>
                    <w:rPr>
                      <w:rFonts w:ascii="宋体" w:hAnsi="宋体" w:eastAsia="宋体"/>
                      <w:sz w:val="18"/>
                      <w:szCs w:val="18"/>
                    </w:rPr>
                  </w:pPr>
                  <w:r>
                    <w:rPr>
                      <w:rFonts w:ascii="宋体" w:hAnsi="宋体" w:eastAsia="宋体"/>
                      <w:sz w:val="18"/>
                      <w:szCs w:val="18"/>
                    </w:rPr>
                    <w:t>功能</w:t>
                  </w:r>
                  <w:r>
                    <w:rPr>
                      <w:rFonts w:ascii="宋体" w:hAnsi="宋体" w:eastAsia="宋体"/>
                      <w:sz w:val="18"/>
                      <w:szCs w:val="18"/>
                    </w:rPr>
                    <w:br w:type="textWrapping"/>
                  </w:r>
                  <w:r>
                    <w:rPr>
                      <w:rFonts w:ascii="宋体" w:hAnsi="宋体" w:eastAsia="宋体"/>
                      <w:sz w:val="18"/>
                      <w:szCs w:val="18"/>
                    </w:rPr>
                    <w:t>检查</w:t>
                  </w:r>
                </w:p>
              </w:tc>
              <w:tc>
                <w:tcPr>
                  <w:tcW w:w="1228" w:type="dxa"/>
                  <w:tcBorders>
                    <w:top w:val="single" w:color="auto" w:sz="4" w:space="0"/>
                    <w:left w:val="single" w:color="auto" w:sz="4" w:space="0"/>
                    <w:bottom w:val="single" w:color="auto" w:sz="4" w:space="0"/>
                    <w:right w:val="single" w:color="auto" w:sz="8" w:space="0"/>
                  </w:tcBorders>
                  <w:vAlign w:val="center"/>
                </w:tcPr>
                <w:p w14:paraId="622CA080">
                  <w:pPr>
                    <w:spacing w:line="240" w:lineRule="auto"/>
                    <w:jc w:val="center"/>
                    <w:rPr>
                      <w:rFonts w:ascii="宋体" w:hAnsi="宋体" w:eastAsia="宋体"/>
                      <w:sz w:val="18"/>
                      <w:szCs w:val="18"/>
                    </w:rPr>
                  </w:pPr>
                  <w:r>
                    <w:rPr>
                      <w:rFonts w:ascii="宋体" w:hAnsi="宋体" w:eastAsia="宋体"/>
                      <w:sz w:val="18"/>
                      <w:szCs w:val="18"/>
                    </w:rPr>
                    <w:t>肺功能检查室、电生理检查室、超声检查室</w:t>
                  </w:r>
                </w:p>
              </w:tc>
              <w:tc>
                <w:tcPr>
                  <w:tcW w:w="258" w:type="dxa"/>
                  <w:tcBorders>
                    <w:top w:val="single" w:color="auto" w:sz="4" w:space="0"/>
                    <w:left w:val="single" w:color="auto" w:sz="8" w:space="0"/>
                    <w:bottom w:val="single" w:color="auto" w:sz="4" w:space="0"/>
                    <w:right w:val="single" w:color="auto" w:sz="4" w:space="0"/>
                  </w:tcBorders>
                  <w:vAlign w:val="center"/>
                </w:tcPr>
                <w:p w14:paraId="65162DBB">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1EE559F8">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5FB93C4F">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604B8BE6">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4D42D14B">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469" w:type="dxa"/>
                  <w:tcBorders>
                    <w:top w:val="single" w:color="auto" w:sz="4" w:space="0"/>
                    <w:left w:val="single" w:color="auto" w:sz="4" w:space="0"/>
                    <w:bottom w:val="single" w:color="auto" w:sz="4" w:space="0"/>
                    <w:right w:val="single" w:color="auto" w:sz="8" w:space="0"/>
                  </w:tcBorders>
                  <w:vAlign w:val="center"/>
                </w:tcPr>
                <w:p w14:paraId="176402D0">
                  <w:pPr>
                    <w:spacing w:line="240" w:lineRule="auto"/>
                    <w:jc w:val="center"/>
                    <w:rPr>
                      <w:rFonts w:ascii="宋体" w:hAnsi="宋体" w:eastAsia="宋体"/>
                      <w:sz w:val="18"/>
                      <w:szCs w:val="18"/>
                    </w:rPr>
                  </w:pPr>
                </w:p>
              </w:tc>
            </w:tr>
            <w:tr w14:paraId="45B05C0B">
              <w:tblPrEx>
                <w:tblCellMar>
                  <w:top w:w="0" w:type="dxa"/>
                  <w:left w:w="28" w:type="dxa"/>
                  <w:bottom w:w="0" w:type="dxa"/>
                  <w:right w:w="28" w:type="dxa"/>
                </w:tblCellMar>
              </w:tblPrEx>
              <w:trPr>
                <w:trHeight w:val="20" w:hRule="atLeast"/>
              </w:trPr>
              <w:tc>
                <w:tcPr>
                  <w:tcW w:w="616" w:type="dxa"/>
                  <w:tcBorders>
                    <w:top w:val="single" w:color="auto" w:sz="4" w:space="0"/>
                    <w:left w:val="single" w:color="auto" w:sz="8" w:space="0"/>
                    <w:bottom w:val="single" w:color="auto" w:sz="4" w:space="0"/>
                    <w:right w:val="single" w:color="auto" w:sz="4" w:space="0"/>
                  </w:tcBorders>
                  <w:noWrap/>
                  <w:vAlign w:val="center"/>
                </w:tcPr>
                <w:p w14:paraId="061D73F7">
                  <w:pPr>
                    <w:spacing w:line="240" w:lineRule="auto"/>
                    <w:jc w:val="center"/>
                    <w:rPr>
                      <w:rFonts w:ascii="宋体" w:hAnsi="宋体" w:eastAsia="宋体"/>
                      <w:sz w:val="18"/>
                      <w:szCs w:val="18"/>
                    </w:rPr>
                  </w:pPr>
                  <w:r>
                    <w:rPr>
                      <w:rFonts w:ascii="宋体" w:hAnsi="宋体" w:eastAsia="宋体"/>
                      <w:sz w:val="18"/>
                      <w:szCs w:val="18"/>
                    </w:rPr>
                    <w:t>内</w:t>
                  </w:r>
                  <w:r>
                    <w:rPr>
                      <w:rFonts w:ascii="宋体" w:hAnsi="宋体" w:eastAsia="宋体"/>
                      <w:sz w:val="18"/>
                      <w:szCs w:val="18"/>
                      <w:bdr w:val="single" w:color="auto" w:sz="4" w:space="0"/>
                    </w:rPr>
                    <w:t>窥</w:t>
                  </w:r>
                  <w:r>
                    <w:rPr>
                      <w:rFonts w:ascii="宋体" w:hAnsi="宋体" w:eastAsia="宋体"/>
                      <w:sz w:val="18"/>
                      <w:szCs w:val="18"/>
                    </w:rPr>
                    <w:t>镜</w:t>
                  </w:r>
                </w:p>
              </w:tc>
              <w:tc>
                <w:tcPr>
                  <w:tcW w:w="1228" w:type="dxa"/>
                  <w:tcBorders>
                    <w:top w:val="single" w:color="auto" w:sz="4" w:space="0"/>
                    <w:left w:val="single" w:color="auto" w:sz="4" w:space="0"/>
                    <w:bottom w:val="single" w:color="auto" w:sz="4" w:space="0"/>
                    <w:right w:val="single" w:color="auto" w:sz="8" w:space="0"/>
                  </w:tcBorders>
                  <w:vAlign w:val="center"/>
                </w:tcPr>
                <w:p w14:paraId="32F68BC5">
                  <w:pPr>
                    <w:spacing w:line="240" w:lineRule="auto"/>
                    <w:jc w:val="center"/>
                    <w:rPr>
                      <w:rFonts w:ascii="宋体" w:hAnsi="宋体" w:eastAsia="宋体"/>
                      <w:sz w:val="18"/>
                      <w:szCs w:val="18"/>
                    </w:rPr>
                  </w:pPr>
                  <w:r>
                    <w:rPr>
                      <w:rFonts w:ascii="宋体" w:hAnsi="宋体" w:eastAsia="宋体"/>
                      <w:sz w:val="18"/>
                      <w:szCs w:val="18"/>
                    </w:rPr>
                    <w:t>内</w:t>
                  </w:r>
                  <w:r>
                    <w:rPr>
                      <w:rFonts w:ascii="宋体" w:hAnsi="宋体" w:eastAsia="宋体"/>
                      <w:sz w:val="18"/>
                      <w:szCs w:val="18"/>
                      <w:bdr w:val="single" w:color="auto" w:sz="4" w:space="0"/>
                    </w:rPr>
                    <w:t>窥</w:t>
                  </w:r>
                  <w:r>
                    <w:rPr>
                      <w:rFonts w:ascii="宋体" w:hAnsi="宋体" w:eastAsia="宋体"/>
                      <w:sz w:val="18"/>
                      <w:szCs w:val="18"/>
                    </w:rPr>
                    <w:t>镜检查室</w:t>
                  </w:r>
                </w:p>
              </w:tc>
              <w:tc>
                <w:tcPr>
                  <w:tcW w:w="258" w:type="dxa"/>
                  <w:tcBorders>
                    <w:top w:val="single" w:color="auto" w:sz="4" w:space="0"/>
                    <w:left w:val="single" w:color="auto" w:sz="8" w:space="0"/>
                    <w:bottom w:val="single" w:color="auto" w:sz="4" w:space="0"/>
                    <w:right w:val="single" w:color="auto" w:sz="4" w:space="0"/>
                  </w:tcBorders>
                  <w:vAlign w:val="center"/>
                </w:tcPr>
                <w:p w14:paraId="375CD185">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7EDEA3B2">
                  <w:pPr>
                    <w:spacing w:line="240" w:lineRule="auto"/>
                    <w:jc w:val="center"/>
                    <w:rPr>
                      <w:rFonts w:ascii="宋体" w:hAnsi="宋体" w:eastAsia="宋体"/>
                      <w:sz w:val="18"/>
                      <w:szCs w:val="18"/>
                    </w:rPr>
                  </w:pPr>
                  <w:r>
                    <w:rPr>
                      <w:rFonts w:ascii="宋体" w:hAnsi="宋体" w:eastAsia="宋体"/>
                      <w:sz w:val="18"/>
                      <w:szCs w:val="18"/>
                    </w:rPr>
                    <w:t>Xb</w:t>
                  </w:r>
                </w:p>
              </w:tc>
              <w:tc>
                <w:tcPr>
                  <w:tcW w:w="258" w:type="dxa"/>
                  <w:tcBorders>
                    <w:top w:val="single" w:color="auto" w:sz="4" w:space="0"/>
                    <w:left w:val="single" w:color="auto" w:sz="4" w:space="0"/>
                    <w:bottom w:val="single" w:color="auto" w:sz="4" w:space="0"/>
                    <w:right w:val="single" w:color="auto" w:sz="8" w:space="0"/>
                  </w:tcBorders>
                  <w:vAlign w:val="center"/>
                </w:tcPr>
                <w:p w14:paraId="3E3ACF56">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130F0D4">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7D93E601">
                  <w:pPr>
                    <w:spacing w:line="240" w:lineRule="auto"/>
                    <w:jc w:val="center"/>
                    <w:rPr>
                      <w:rFonts w:ascii="宋体" w:hAnsi="宋体" w:eastAsia="宋体"/>
                      <w:sz w:val="18"/>
                      <w:szCs w:val="18"/>
                    </w:rPr>
                  </w:pPr>
                  <w:r>
                    <w:rPr>
                      <w:rFonts w:ascii="宋体" w:hAnsi="宋体" w:eastAsia="宋体"/>
                      <w:sz w:val="18"/>
                      <w:szCs w:val="18"/>
                    </w:rPr>
                    <w:t>Xb</w:t>
                  </w:r>
                </w:p>
              </w:tc>
              <w:tc>
                <w:tcPr>
                  <w:tcW w:w="469" w:type="dxa"/>
                  <w:tcBorders>
                    <w:top w:val="single" w:color="auto" w:sz="4" w:space="0"/>
                    <w:left w:val="single" w:color="auto" w:sz="4" w:space="0"/>
                    <w:bottom w:val="single" w:color="auto" w:sz="4" w:space="0"/>
                    <w:right w:val="single" w:color="auto" w:sz="8" w:space="0"/>
                  </w:tcBorders>
                  <w:vAlign w:val="center"/>
                </w:tcPr>
                <w:p w14:paraId="2DEBB145">
                  <w:pPr>
                    <w:spacing w:line="240" w:lineRule="auto"/>
                    <w:jc w:val="center"/>
                    <w:rPr>
                      <w:rFonts w:ascii="宋体" w:hAnsi="宋体" w:eastAsia="宋体"/>
                      <w:sz w:val="18"/>
                      <w:szCs w:val="18"/>
                    </w:rPr>
                  </w:pPr>
                </w:p>
              </w:tc>
            </w:tr>
            <w:tr w14:paraId="40897CF4">
              <w:tblPrEx>
                <w:tblCellMar>
                  <w:top w:w="0" w:type="dxa"/>
                  <w:left w:w="28" w:type="dxa"/>
                  <w:bottom w:w="0" w:type="dxa"/>
                  <w:right w:w="28" w:type="dxa"/>
                </w:tblCellMar>
              </w:tblPrEx>
              <w:trPr>
                <w:trHeight w:val="20" w:hRule="atLeast"/>
              </w:trPr>
              <w:tc>
                <w:tcPr>
                  <w:tcW w:w="616" w:type="dxa"/>
                  <w:tcBorders>
                    <w:top w:val="single" w:color="auto" w:sz="4" w:space="0"/>
                    <w:left w:val="single" w:color="auto" w:sz="8" w:space="0"/>
                    <w:bottom w:val="single" w:color="auto" w:sz="4" w:space="0"/>
                    <w:right w:val="single" w:color="auto" w:sz="4" w:space="0"/>
                  </w:tcBorders>
                  <w:noWrap/>
                  <w:vAlign w:val="center"/>
                </w:tcPr>
                <w:p w14:paraId="19C7FE32">
                  <w:pPr>
                    <w:spacing w:line="240" w:lineRule="auto"/>
                    <w:jc w:val="center"/>
                    <w:rPr>
                      <w:rFonts w:ascii="宋体" w:hAnsi="宋体" w:eastAsia="宋体"/>
                      <w:sz w:val="18"/>
                      <w:szCs w:val="18"/>
                    </w:rPr>
                  </w:pPr>
                  <w:r>
                    <w:rPr>
                      <w:rFonts w:hint="eastAsia" w:ascii="宋体" w:hAnsi="宋体" w:eastAsia="宋体"/>
                      <w:sz w:val="18"/>
                      <w:szCs w:val="18"/>
                    </w:rPr>
                    <w:t>泌尿科</w:t>
                  </w:r>
                </w:p>
              </w:tc>
              <w:tc>
                <w:tcPr>
                  <w:tcW w:w="1228" w:type="dxa"/>
                  <w:tcBorders>
                    <w:top w:val="single" w:color="auto" w:sz="4" w:space="0"/>
                    <w:left w:val="single" w:color="auto" w:sz="4" w:space="0"/>
                    <w:bottom w:val="single" w:color="auto" w:sz="4" w:space="0"/>
                    <w:right w:val="single" w:color="auto" w:sz="8" w:space="0"/>
                  </w:tcBorders>
                  <w:vAlign w:val="center"/>
                </w:tcPr>
                <w:p w14:paraId="286F82BB">
                  <w:pPr>
                    <w:spacing w:line="240" w:lineRule="auto"/>
                    <w:jc w:val="center"/>
                    <w:rPr>
                      <w:rFonts w:ascii="宋体" w:hAnsi="宋体" w:eastAsia="宋体"/>
                      <w:sz w:val="18"/>
                      <w:szCs w:val="18"/>
                    </w:rPr>
                  </w:pPr>
                  <w:r>
                    <w:rPr>
                      <w:rFonts w:ascii="宋体" w:hAnsi="宋体" w:eastAsia="宋体"/>
                      <w:sz w:val="18"/>
                      <w:szCs w:val="18"/>
                    </w:rPr>
                    <w:t>泌尿科</w:t>
                  </w:r>
                  <w:r>
                    <w:rPr>
                      <w:rFonts w:hint="eastAsia" w:ascii="宋体" w:hAnsi="宋体" w:eastAsia="宋体"/>
                      <w:sz w:val="18"/>
                      <w:szCs w:val="18"/>
                    </w:rPr>
                    <w:t>治疗室</w:t>
                  </w:r>
                </w:p>
              </w:tc>
              <w:tc>
                <w:tcPr>
                  <w:tcW w:w="258" w:type="dxa"/>
                  <w:tcBorders>
                    <w:top w:val="single" w:color="auto" w:sz="4" w:space="0"/>
                    <w:left w:val="single" w:color="auto" w:sz="8" w:space="0"/>
                    <w:bottom w:val="single" w:color="auto" w:sz="4" w:space="0"/>
                    <w:right w:val="single" w:color="auto" w:sz="4" w:space="0"/>
                  </w:tcBorders>
                  <w:vAlign w:val="center"/>
                </w:tcPr>
                <w:p w14:paraId="58F70D1C">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18BEC876">
                  <w:pPr>
                    <w:spacing w:line="240" w:lineRule="auto"/>
                    <w:jc w:val="center"/>
                    <w:rPr>
                      <w:rFonts w:ascii="宋体" w:hAnsi="宋体" w:eastAsia="宋体"/>
                      <w:sz w:val="18"/>
                      <w:szCs w:val="18"/>
                    </w:rPr>
                  </w:pPr>
                  <w:r>
                    <w:rPr>
                      <w:rFonts w:ascii="宋体" w:hAnsi="宋体" w:eastAsia="宋体"/>
                      <w:sz w:val="18"/>
                      <w:szCs w:val="18"/>
                    </w:rPr>
                    <w:t>Xb</w:t>
                  </w:r>
                </w:p>
              </w:tc>
              <w:tc>
                <w:tcPr>
                  <w:tcW w:w="258" w:type="dxa"/>
                  <w:tcBorders>
                    <w:top w:val="single" w:color="auto" w:sz="4" w:space="0"/>
                    <w:left w:val="single" w:color="auto" w:sz="4" w:space="0"/>
                    <w:bottom w:val="single" w:color="auto" w:sz="4" w:space="0"/>
                    <w:right w:val="single" w:color="auto" w:sz="8" w:space="0"/>
                  </w:tcBorders>
                  <w:vAlign w:val="center"/>
                </w:tcPr>
                <w:p w14:paraId="6A1D0FCF">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7F47A3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7900D5FC">
                  <w:pPr>
                    <w:spacing w:line="240" w:lineRule="auto"/>
                    <w:jc w:val="center"/>
                    <w:rPr>
                      <w:rFonts w:ascii="宋体" w:hAnsi="宋体" w:eastAsia="宋体"/>
                      <w:sz w:val="18"/>
                      <w:szCs w:val="18"/>
                    </w:rPr>
                  </w:pPr>
                  <w:r>
                    <w:rPr>
                      <w:rFonts w:ascii="宋体" w:hAnsi="宋体" w:eastAsia="宋体"/>
                      <w:sz w:val="18"/>
                      <w:szCs w:val="18"/>
                    </w:rPr>
                    <w:t>Xb</w:t>
                  </w:r>
                </w:p>
              </w:tc>
              <w:tc>
                <w:tcPr>
                  <w:tcW w:w="469" w:type="dxa"/>
                  <w:tcBorders>
                    <w:top w:val="single" w:color="auto" w:sz="4" w:space="0"/>
                    <w:left w:val="single" w:color="auto" w:sz="4" w:space="0"/>
                    <w:bottom w:val="single" w:color="auto" w:sz="4" w:space="0"/>
                    <w:right w:val="single" w:color="auto" w:sz="8" w:space="0"/>
                  </w:tcBorders>
                  <w:vAlign w:val="center"/>
                </w:tcPr>
                <w:p w14:paraId="301E0E46">
                  <w:pPr>
                    <w:spacing w:line="240" w:lineRule="auto"/>
                    <w:jc w:val="center"/>
                    <w:rPr>
                      <w:rFonts w:ascii="宋体" w:hAnsi="宋体" w:eastAsia="宋体"/>
                      <w:sz w:val="18"/>
                      <w:szCs w:val="18"/>
                    </w:rPr>
                  </w:pPr>
                </w:p>
              </w:tc>
            </w:tr>
            <w:tr w14:paraId="0540F1F0">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758B6A30">
                  <w:pPr>
                    <w:spacing w:line="240" w:lineRule="auto"/>
                    <w:jc w:val="center"/>
                    <w:rPr>
                      <w:rFonts w:ascii="宋体" w:hAnsi="宋体" w:eastAsia="宋体"/>
                      <w:sz w:val="18"/>
                      <w:szCs w:val="18"/>
                    </w:rPr>
                  </w:pPr>
                  <w:r>
                    <w:rPr>
                      <w:rFonts w:hint="eastAsia" w:ascii="宋体" w:hAnsi="宋体" w:eastAsia="宋体"/>
                      <w:sz w:val="18"/>
                      <w:szCs w:val="18"/>
                      <w:bdr w:val="single" w:color="auto" w:sz="4" w:space="0"/>
                    </w:rPr>
                    <w:t>影像</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0075B392">
                  <w:pPr>
                    <w:spacing w:line="240" w:lineRule="auto"/>
                    <w:jc w:val="center"/>
                    <w:rPr>
                      <w:rFonts w:ascii="宋体" w:hAnsi="宋体" w:eastAsia="宋体"/>
                      <w:sz w:val="18"/>
                      <w:szCs w:val="18"/>
                    </w:rPr>
                  </w:pPr>
                  <w:r>
                    <w:rPr>
                      <w:rFonts w:ascii="宋体" w:hAnsi="宋体" w:eastAsia="宋体"/>
                      <w:sz w:val="18"/>
                      <w:szCs w:val="18"/>
                    </w:rPr>
                    <w:t>DR诊断室、CR诊断室、CT诊断室</w:t>
                  </w:r>
                </w:p>
              </w:tc>
              <w:tc>
                <w:tcPr>
                  <w:tcW w:w="258" w:type="dxa"/>
                  <w:tcBorders>
                    <w:top w:val="single" w:color="auto" w:sz="4" w:space="0"/>
                    <w:left w:val="single" w:color="auto" w:sz="8" w:space="0"/>
                    <w:bottom w:val="single" w:color="auto" w:sz="4" w:space="0"/>
                    <w:right w:val="single" w:color="auto" w:sz="4" w:space="0"/>
                  </w:tcBorders>
                  <w:vAlign w:val="center"/>
                </w:tcPr>
                <w:p w14:paraId="3E768C88">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64FA027D">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663E6CD8">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03E288D8">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24A868F0">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469" w:type="dxa"/>
                  <w:tcBorders>
                    <w:top w:val="single" w:color="auto" w:sz="4" w:space="0"/>
                    <w:left w:val="single" w:color="auto" w:sz="4" w:space="0"/>
                    <w:bottom w:val="single" w:color="auto" w:sz="4" w:space="0"/>
                    <w:right w:val="single" w:color="auto" w:sz="8" w:space="0"/>
                  </w:tcBorders>
                  <w:vAlign w:val="center"/>
                </w:tcPr>
                <w:p w14:paraId="6BCE87F1">
                  <w:pPr>
                    <w:spacing w:line="240" w:lineRule="auto"/>
                    <w:jc w:val="center"/>
                    <w:rPr>
                      <w:rFonts w:ascii="宋体" w:hAnsi="宋体" w:eastAsia="宋体"/>
                      <w:sz w:val="18"/>
                      <w:szCs w:val="18"/>
                    </w:rPr>
                  </w:pPr>
                </w:p>
              </w:tc>
            </w:tr>
            <w:tr w14:paraId="7F1544D2">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78E381D">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160B85A8">
                  <w:pPr>
                    <w:spacing w:line="240" w:lineRule="auto"/>
                    <w:jc w:val="center"/>
                    <w:rPr>
                      <w:rFonts w:ascii="宋体" w:hAnsi="宋体" w:eastAsia="宋体"/>
                      <w:sz w:val="18"/>
                      <w:szCs w:val="18"/>
                    </w:rPr>
                  </w:pPr>
                  <w:r>
                    <w:rPr>
                      <w:rFonts w:ascii="宋体" w:hAnsi="宋体" w:eastAsia="宋体"/>
                      <w:sz w:val="18"/>
                      <w:szCs w:val="18"/>
                    </w:rPr>
                    <w:t>导管介入室</w:t>
                  </w:r>
                </w:p>
              </w:tc>
              <w:tc>
                <w:tcPr>
                  <w:tcW w:w="258" w:type="dxa"/>
                  <w:tcBorders>
                    <w:top w:val="single" w:color="auto" w:sz="4" w:space="0"/>
                    <w:left w:val="single" w:color="auto" w:sz="8" w:space="0"/>
                    <w:bottom w:val="single" w:color="auto" w:sz="4" w:space="0"/>
                    <w:right w:val="single" w:color="auto" w:sz="4" w:space="0"/>
                  </w:tcBorders>
                  <w:vAlign w:val="center"/>
                </w:tcPr>
                <w:p w14:paraId="53133EB2">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24590324">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258" w:type="dxa"/>
                  <w:tcBorders>
                    <w:top w:val="single" w:color="auto" w:sz="4" w:space="0"/>
                    <w:left w:val="single" w:color="auto" w:sz="4" w:space="0"/>
                    <w:bottom w:val="single" w:color="auto" w:sz="4" w:space="0"/>
                    <w:right w:val="single" w:color="auto" w:sz="8" w:space="0"/>
                  </w:tcBorders>
                  <w:vAlign w:val="center"/>
                </w:tcPr>
                <w:p w14:paraId="05DA32B4">
                  <w:pPr>
                    <w:spacing w:line="240" w:lineRule="auto"/>
                    <w:jc w:val="center"/>
                    <w:rPr>
                      <w:rFonts w:ascii="宋体" w:hAnsi="宋体" w:eastAsia="宋体"/>
                      <w:sz w:val="18"/>
                      <w:szCs w:val="18"/>
                      <w:u w:val="single"/>
                    </w:rPr>
                  </w:pPr>
                </w:p>
              </w:tc>
              <w:tc>
                <w:tcPr>
                  <w:tcW w:w="469" w:type="dxa"/>
                  <w:tcBorders>
                    <w:top w:val="single" w:color="auto" w:sz="4" w:space="0"/>
                    <w:left w:val="single" w:color="auto" w:sz="8" w:space="0"/>
                    <w:bottom w:val="single" w:color="auto" w:sz="4" w:space="0"/>
                    <w:right w:val="single" w:color="auto" w:sz="4" w:space="0"/>
                  </w:tcBorders>
                  <w:vAlign w:val="center"/>
                </w:tcPr>
                <w:p w14:paraId="1ED7E6D4">
                  <w:pPr>
                    <w:spacing w:line="240" w:lineRule="auto"/>
                    <w:jc w:val="center"/>
                    <w:rPr>
                      <w:rFonts w:ascii="宋体" w:hAnsi="宋体" w:eastAsia="宋体"/>
                      <w:sz w:val="18"/>
                      <w:szCs w:val="18"/>
                      <w:u w:val="single"/>
                    </w:rPr>
                  </w:pPr>
                </w:p>
              </w:tc>
              <w:tc>
                <w:tcPr>
                  <w:tcW w:w="469" w:type="dxa"/>
                  <w:tcBorders>
                    <w:top w:val="single" w:color="auto" w:sz="4" w:space="0"/>
                    <w:left w:val="single" w:color="auto" w:sz="4" w:space="0"/>
                    <w:bottom w:val="single" w:color="auto" w:sz="4" w:space="0"/>
                    <w:right w:val="single" w:color="auto" w:sz="4" w:space="0"/>
                  </w:tcBorders>
                  <w:vAlign w:val="center"/>
                </w:tcPr>
                <w:p w14:paraId="5BBF18C6">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D2641E4">
                  <w:pPr>
                    <w:spacing w:line="240" w:lineRule="auto"/>
                    <w:jc w:val="center"/>
                    <w:rPr>
                      <w:rFonts w:ascii="宋体" w:hAnsi="宋体" w:eastAsia="宋体"/>
                      <w:sz w:val="18"/>
                      <w:szCs w:val="18"/>
                    </w:rPr>
                  </w:pPr>
                </w:p>
              </w:tc>
            </w:tr>
            <w:tr w14:paraId="71AE42E7">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DFE303C">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4B8D690E">
                  <w:pPr>
                    <w:spacing w:line="240" w:lineRule="auto"/>
                    <w:jc w:val="center"/>
                    <w:rPr>
                      <w:rFonts w:ascii="宋体" w:hAnsi="宋体" w:eastAsia="宋体"/>
                      <w:sz w:val="18"/>
                      <w:szCs w:val="18"/>
                    </w:rPr>
                  </w:pPr>
                  <w:r>
                    <w:rPr>
                      <w:rFonts w:ascii="宋体" w:hAnsi="宋体" w:eastAsia="宋体"/>
                      <w:sz w:val="18"/>
                      <w:szCs w:val="18"/>
                    </w:rPr>
                    <w:t>心血管造影检查室</w:t>
                  </w:r>
                </w:p>
              </w:tc>
              <w:tc>
                <w:tcPr>
                  <w:tcW w:w="258" w:type="dxa"/>
                  <w:tcBorders>
                    <w:top w:val="single" w:color="auto" w:sz="4" w:space="0"/>
                    <w:left w:val="single" w:color="auto" w:sz="8" w:space="0"/>
                    <w:bottom w:val="single" w:color="auto" w:sz="4" w:space="0"/>
                    <w:right w:val="single" w:color="auto" w:sz="4" w:space="0"/>
                  </w:tcBorders>
                  <w:vAlign w:val="center"/>
                </w:tcPr>
                <w:p w14:paraId="0B041049">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35F17DF6">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0C7A1E1D">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8" w:space="0"/>
                    <w:bottom w:val="single" w:color="auto" w:sz="4" w:space="0"/>
                    <w:right w:val="single" w:color="auto" w:sz="4" w:space="0"/>
                  </w:tcBorders>
                  <w:vAlign w:val="center"/>
                </w:tcPr>
                <w:p w14:paraId="43E1E68C">
                  <w:pPr>
                    <w:spacing w:line="240" w:lineRule="auto"/>
                    <w:jc w:val="center"/>
                    <w:rPr>
                      <w:rFonts w:ascii="宋体" w:hAnsi="宋体" w:eastAsia="宋体"/>
                      <w:sz w:val="18"/>
                      <w:szCs w:val="18"/>
                    </w:rPr>
                  </w:pPr>
                  <w:r>
                    <w:rPr>
                      <w:rFonts w:ascii="宋体" w:hAnsi="宋体" w:eastAsia="宋体"/>
                      <w:sz w:val="18"/>
                      <w:szCs w:val="18"/>
                    </w:rPr>
                    <w:t>Xa</w:t>
                  </w:r>
                </w:p>
              </w:tc>
              <w:tc>
                <w:tcPr>
                  <w:tcW w:w="469" w:type="dxa"/>
                  <w:tcBorders>
                    <w:top w:val="single" w:color="auto" w:sz="4" w:space="0"/>
                    <w:left w:val="single" w:color="auto" w:sz="4" w:space="0"/>
                    <w:bottom w:val="single" w:color="auto" w:sz="4" w:space="0"/>
                    <w:right w:val="single" w:color="auto" w:sz="4" w:space="0"/>
                  </w:tcBorders>
                  <w:vAlign w:val="center"/>
                </w:tcPr>
                <w:p w14:paraId="4C56628C">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290F7EF6">
                  <w:pPr>
                    <w:spacing w:line="240" w:lineRule="auto"/>
                    <w:jc w:val="center"/>
                    <w:rPr>
                      <w:rFonts w:ascii="宋体" w:hAnsi="宋体" w:eastAsia="宋体"/>
                      <w:sz w:val="18"/>
                      <w:szCs w:val="18"/>
                    </w:rPr>
                  </w:pPr>
                </w:p>
              </w:tc>
            </w:tr>
            <w:tr w14:paraId="6522C2B4">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5499B6B">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33DC2952">
                  <w:pPr>
                    <w:spacing w:line="240" w:lineRule="auto"/>
                    <w:jc w:val="center"/>
                    <w:rPr>
                      <w:rFonts w:ascii="宋体" w:hAnsi="宋体" w:eastAsia="宋体"/>
                      <w:sz w:val="18"/>
                      <w:szCs w:val="18"/>
                    </w:rPr>
                  </w:pPr>
                  <w:r>
                    <w:rPr>
                      <w:rFonts w:ascii="宋体" w:hAnsi="宋体" w:eastAsia="宋体"/>
                      <w:sz w:val="18"/>
                      <w:szCs w:val="18"/>
                    </w:rPr>
                    <w:t>MRI扫描室</w:t>
                  </w:r>
                </w:p>
              </w:tc>
              <w:tc>
                <w:tcPr>
                  <w:tcW w:w="258" w:type="dxa"/>
                  <w:tcBorders>
                    <w:top w:val="single" w:color="auto" w:sz="4" w:space="0"/>
                    <w:left w:val="single" w:color="auto" w:sz="8" w:space="0"/>
                    <w:bottom w:val="single" w:color="auto" w:sz="4" w:space="0"/>
                    <w:right w:val="single" w:color="auto" w:sz="4" w:space="0"/>
                  </w:tcBorders>
                  <w:vAlign w:val="center"/>
                </w:tcPr>
                <w:p w14:paraId="2029F347">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04669F06">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6FEF4D71">
                  <w:pPr>
                    <w:spacing w:line="240" w:lineRule="auto"/>
                    <w:jc w:val="center"/>
                    <w:rPr>
                      <w:rFonts w:ascii="宋体" w:hAnsi="宋体" w:eastAsia="宋体"/>
                      <w:sz w:val="18"/>
                      <w:szCs w:val="18"/>
                      <w:u w:val="single"/>
                    </w:rPr>
                  </w:pPr>
                </w:p>
              </w:tc>
              <w:tc>
                <w:tcPr>
                  <w:tcW w:w="469" w:type="dxa"/>
                  <w:tcBorders>
                    <w:top w:val="single" w:color="auto" w:sz="4" w:space="0"/>
                    <w:left w:val="single" w:color="auto" w:sz="8" w:space="0"/>
                    <w:bottom w:val="single" w:color="auto" w:sz="4" w:space="0"/>
                    <w:right w:val="single" w:color="auto" w:sz="4" w:space="0"/>
                  </w:tcBorders>
                  <w:vAlign w:val="center"/>
                </w:tcPr>
                <w:p w14:paraId="4A7AE4F5">
                  <w:pPr>
                    <w:spacing w:line="240" w:lineRule="auto"/>
                    <w:jc w:val="center"/>
                    <w:rPr>
                      <w:rFonts w:ascii="宋体" w:hAnsi="宋体" w:eastAsia="宋体"/>
                      <w:sz w:val="18"/>
                      <w:szCs w:val="18"/>
                      <w:u w:val="single"/>
                    </w:rPr>
                  </w:pPr>
                </w:p>
              </w:tc>
              <w:tc>
                <w:tcPr>
                  <w:tcW w:w="469" w:type="dxa"/>
                  <w:tcBorders>
                    <w:top w:val="single" w:color="auto" w:sz="4" w:space="0"/>
                    <w:left w:val="single" w:color="auto" w:sz="4" w:space="0"/>
                    <w:bottom w:val="single" w:color="auto" w:sz="4" w:space="0"/>
                    <w:right w:val="single" w:color="auto" w:sz="4" w:space="0"/>
                  </w:tcBorders>
                  <w:vAlign w:val="center"/>
                </w:tcPr>
                <w:p w14:paraId="67AE5D0C">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27349198">
                  <w:pPr>
                    <w:spacing w:line="240" w:lineRule="auto"/>
                    <w:jc w:val="center"/>
                    <w:rPr>
                      <w:rFonts w:ascii="宋体" w:hAnsi="宋体" w:eastAsia="宋体"/>
                      <w:sz w:val="18"/>
                      <w:szCs w:val="18"/>
                    </w:rPr>
                  </w:pPr>
                </w:p>
              </w:tc>
            </w:tr>
            <w:tr w14:paraId="257FFCF1">
              <w:tblPrEx>
                <w:tblCellMar>
                  <w:top w:w="0" w:type="dxa"/>
                  <w:left w:w="28" w:type="dxa"/>
                  <w:bottom w:w="0" w:type="dxa"/>
                  <w:right w:w="28" w:type="dxa"/>
                </w:tblCellMar>
              </w:tblPrEx>
              <w:trPr>
                <w:trHeight w:val="20" w:hRule="atLeast"/>
              </w:trPr>
              <w:tc>
                <w:tcPr>
                  <w:tcW w:w="616" w:type="dxa"/>
                  <w:tcBorders>
                    <w:top w:val="single" w:color="auto" w:sz="4" w:space="0"/>
                    <w:left w:val="single" w:color="auto" w:sz="8" w:space="0"/>
                    <w:bottom w:val="single" w:color="auto" w:sz="4" w:space="0"/>
                    <w:right w:val="single" w:color="auto" w:sz="4" w:space="0"/>
                  </w:tcBorders>
                  <w:noWrap/>
                  <w:vAlign w:val="center"/>
                </w:tcPr>
                <w:p w14:paraId="01946846">
                  <w:pPr>
                    <w:spacing w:line="240" w:lineRule="auto"/>
                    <w:jc w:val="center"/>
                    <w:rPr>
                      <w:rFonts w:ascii="宋体" w:hAnsi="宋体" w:eastAsia="宋体"/>
                      <w:sz w:val="18"/>
                      <w:szCs w:val="18"/>
                    </w:rPr>
                  </w:pPr>
                  <w:r>
                    <w:rPr>
                      <w:rFonts w:ascii="宋体" w:hAnsi="宋体" w:eastAsia="宋体"/>
                      <w:sz w:val="18"/>
                      <w:szCs w:val="18"/>
                    </w:rPr>
                    <w:t>放射</w:t>
                  </w:r>
                  <w:r>
                    <w:rPr>
                      <w:rFonts w:ascii="宋体" w:hAnsi="宋体" w:eastAsia="宋体"/>
                      <w:sz w:val="18"/>
                      <w:szCs w:val="18"/>
                    </w:rPr>
                    <w:br w:type="textWrapping"/>
                  </w:r>
                  <w:r>
                    <w:rPr>
                      <w:rFonts w:ascii="宋体" w:hAnsi="宋体" w:eastAsia="宋体"/>
                      <w:sz w:val="18"/>
                      <w:szCs w:val="18"/>
                    </w:rPr>
                    <w:t>治疗</w:t>
                  </w:r>
                </w:p>
              </w:tc>
              <w:tc>
                <w:tcPr>
                  <w:tcW w:w="1228" w:type="dxa"/>
                  <w:tcBorders>
                    <w:top w:val="single" w:color="auto" w:sz="4" w:space="0"/>
                    <w:left w:val="single" w:color="auto" w:sz="4" w:space="0"/>
                    <w:bottom w:val="single" w:color="auto" w:sz="4" w:space="0"/>
                    <w:right w:val="single" w:color="auto" w:sz="8" w:space="0"/>
                  </w:tcBorders>
                  <w:vAlign w:val="center"/>
                </w:tcPr>
                <w:p w14:paraId="3570F768">
                  <w:pPr>
                    <w:spacing w:line="240" w:lineRule="auto"/>
                    <w:jc w:val="center"/>
                    <w:rPr>
                      <w:rFonts w:ascii="宋体" w:hAnsi="宋体" w:eastAsia="宋体"/>
                      <w:sz w:val="18"/>
                      <w:szCs w:val="18"/>
                    </w:rPr>
                  </w:pPr>
                  <w:r>
                    <w:rPr>
                      <w:rFonts w:ascii="宋体" w:hAnsi="宋体" w:eastAsia="宋体"/>
                      <w:sz w:val="18"/>
                      <w:szCs w:val="18"/>
                    </w:rPr>
                    <w:t>后装、钴60、直线加速器、γ刀、深部X线治疗</w:t>
                  </w:r>
                </w:p>
              </w:tc>
              <w:tc>
                <w:tcPr>
                  <w:tcW w:w="258" w:type="dxa"/>
                  <w:tcBorders>
                    <w:top w:val="single" w:color="auto" w:sz="4" w:space="0"/>
                    <w:left w:val="single" w:color="auto" w:sz="8" w:space="0"/>
                    <w:bottom w:val="single" w:color="auto" w:sz="4" w:space="0"/>
                    <w:right w:val="single" w:color="auto" w:sz="4" w:space="0"/>
                  </w:tcBorders>
                  <w:vAlign w:val="center"/>
                </w:tcPr>
                <w:p w14:paraId="49D0308A">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52E308AE">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6AD0E049">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6A3951FE">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340B78AE">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37218B45">
                  <w:pPr>
                    <w:spacing w:line="240" w:lineRule="auto"/>
                    <w:jc w:val="center"/>
                    <w:rPr>
                      <w:rFonts w:ascii="宋体" w:hAnsi="宋体" w:eastAsia="宋体"/>
                      <w:sz w:val="18"/>
                      <w:szCs w:val="18"/>
                    </w:rPr>
                  </w:pPr>
                </w:p>
              </w:tc>
            </w:tr>
            <w:tr w14:paraId="55CB94BE">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0D228F81">
                  <w:pPr>
                    <w:spacing w:line="240" w:lineRule="auto"/>
                    <w:jc w:val="center"/>
                    <w:rPr>
                      <w:rFonts w:ascii="宋体" w:hAnsi="宋体" w:eastAsia="宋体"/>
                      <w:sz w:val="18"/>
                      <w:szCs w:val="18"/>
                    </w:rPr>
                  </w:pPr>
                  <w:r>
                    <w:rPr>
                      <w:rFonts w:ascii="宋体" w:hAnsi="宋体" w:eastAsia="宋体"/>
                      <w:sz w:val="18"/>
                      <w:szCs w:val="18"/>
                    </w:rPr>
                    <w:t>理疗</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01E7F4C0">
                  <w:pPr>
                    <w:spacing w:line="240" w:lineRule="auto"/>
                    <w:jc w:val="center"/>
                    <w:rPr>
                      <w:rFonts w:ascii="宋体" w:hAnsi="宋体" w:eastAsia="宋体"/>
                      <w:sz w:val="18"/>
                      <w:szCs w:val="18"/>
                    </w:rPr>
                  </w:pPr>
                  <w:r>
                    <w:rPr>
                      <w:rFonts w:ascii="宋体" w:hAnsi="宋体" w:eastAsia="宋体"/>
                      <w:sz w:val="18"/>
                      <w:szCs w:val="18"/>
                    </w:rPr>
                    <w:t>物理治疗室</w:t>
                  </w:r>
                </w:p>
              </w:tc>
              <w:tc>
                <w:tcPr>
                  <w:tcW w:w="258" w:type="dxa"/>
                  <w:tcBorders>
                    <w:top w:val="single" w:color="auto" w:sz="4" w:space="0"/>
                    <w:left w:val="single" w:color="auto" w:sz="8" w:space="0"/>
                    <w:bottom w:val="single" w:color="auto" w:sz="4" w:space="0"/>
                    <w:right w:val="single" w:color="auto" w:sz="4" w:space="0"/>
                  </w:tcBorders>
                  <w:vAlign w:val="center"/>
                </w:tcPr>
                <w:p w14:paraId="3AA515A9">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6A3CB8CE">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368AA176">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F60F18C">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451F8537">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65466479">
                  <w:pPr>
                    <w:spacing w:line="240" w:lineRule="auto"/>
                    <w:jc w:val="center"/>
                    <w:rPr>
                      <w:rFonts w:ascii="宋体" w:hAnsi="宋体" w:eastAsia="宋体"/>
                      <w:sz w:val="18"/>
                      <w:szCs w:val="18"/>
                    </w:rPr>
                  </w:pPr>
                </w:p>
              </w:tc>
            </w:tr>
            <w:tr w14:paraId="57FFE168">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7E160ED7">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2F445BCC">
                  <w:pPr>
                    <w:spacing w:line="240" w:lineRule="auto"/>
                    <w:jc w:val="center"/>
                    <w:rPr>
                      <w:rFonts w:ascii="宋体" w:hAnsi="宋体" w:eastAsia="宋体"/>
                      <w:sz w:val="18"/>
                      <w:szCs w:val="18"/>
                    </w:rPr>
                  </w:pPr>
                  <w:r>
                    <w:rPr>
                      <w:rFonts w:ascii="宋体" w:hAnsi="宋体" w:eastAsia="宋体"/>
                      <w:sz w:val="18"/>
                      <w:szCs w:val="18"/>
                    </w:rPr>
                    <w:t>水疗室</w:t>
                  </w:r>
                </w:p>
              </w:tc>
              <w:tc>
                <w:tcPr>
                  <w:tcW w:w="258" w:type="dxa"/>
                  <w:tcBorders>
                    <w:top w:val="single" w:color="auto" w:sz="4" w:space="0"/>
                    <w:left w:val="single" w:color="auto" w:sz="8" w:space="0"/>
                    <w:bottom w:val="single" w:color="auto" w:sz="4" w:space="0"/>
                    <w:right w:val="single" w:color="auto" w:sz="4" w:space="0"/>
                  </w:tcBorders>
                  <w:vAlign w:val="center"/>
                </w:tcPr>
                <w:p w14:paraId="6C82672A">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61BCB017">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1EBC49AF">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3863848F">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5CE12E73">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45BFDD13">
                  <w:pPr>
                    <w:spacing w:line="240" w:lineRule="auto"/>
                    <w:jc w:val="center"/>
                    <w:rPr>
                      <w:rFonts w:ascii="宋体" w:hAnsi="宋体" w:eastAsia="宋体"/>
                      <w:sz w:val="18"/>
                      <w:szCs w:val="18"/>
                    </w:rPr>
                  </w:pPr>
                </w:p>
              </w:tc>
            </w:tr>
            <w:tr w14:paraId="5FAEBE62">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0E773743">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0E8FCF13">
                  <w:pPr>
                    <w:spacing w:line="240" w:lineRule="auto"/>
                    <w:jc w:val="center"/>
                    <w:rPr>
                      <w:rFonts w:ascii="宋体" w:hAnsi="宋体" w:eastAsia="宋体"/>
                      <w:sz w:val="18"/>
                      <w:szCs w:val="18"/>
                    </w:rPr>
                  </w:pPr>
                  <w:r>
                    <w:rPr>
                      <w:rFonts w:ascii="宋体" w:hAnsi="宋体" w:eastAsia="宋体"/>
                      <w:sz w:val="18"/>
                      <w:szCs w:val="18"/>
                    </w:rPr>
                    <w:t>按摩室</w:t>
                  </w:r>
                </w:p>
              </w:tc>
              <w:tc>
                <w:tcPr>
                  <w:tcW w:w="258" w:type="dxa"/>
                  <w:tcBorders>
                    <w:top w:val="single" w:color="auto" w:sz="4" w:space="0"/>
                    <w:left w:val="single" w:color="auto" w:sz="8" w:space="0"/>
                    <w:bottom w:val="single" w:color="auto" w:sz="4" w:space="0"/>
                    <w:right w:val="single" w:color="auto" w:sz="4" w:space="0"/>
                  </w:tcBorders>
                  <w:vAlign w:val="center"/>
                </w:tcPr>
                <w:p w14:paraId="3E07B530">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48BECF80">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5B2B2BE7">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224024EC">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11D529B5">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39ADD288">
                  <w:pPr>
                    <w:spacing w:line="240" w:lineRule="auto"/>
                    <w:jc w:val="center"/>
                    <w:rPr>
                      <w:rFonts w:ascii="宋体" w:hAnsi="宋体" w:eastAsia="宋体"/>
                      <w:sz w:val="18"/>
                      <w:szCs w:val="18"/>
                    </w:rPr>
                  </w:pPr>
                  <w:r>
                    <w:rPr>
                      <w:rFonts w:ascii="宋体" w:hAnsi="宋体" w:eastAsia="宋体"/>
                      <w:sz w:val="18"/>
                      <w:szCs w:val="18"/>
                    </w:rPr>
                    <w:t>X</w:t>
                  </w:r>
                </w:p>
              </w:tc>
            </w:tr>
            <w:tr w14:paraId="0291B3E3">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4DCA93C9">
                  <w:pPr>
                    <w:spacing w:line="240" w:lineRule="auto"/>
                    <w:jc w:val="center"/>
                    <w:rPr>
                      <w:rFonts w:ascii="宋体" w:hAnsi="宋体" w:eastAsia="宋体"/>
                      <w:sz w:val="18"/>
                      <w:szCs w:val="18"/>
                    </w:rPr>
                  </w:pPr>
                  <w:r>
                    <w:rPr>
                      <w:rFonts w:ascii="宋体" w:hAnsi="宋体" w:eastAsia="宋体"/>
                      <w:sz w:val="18"/>
                      <w:szCs w:val="18"/>
                    </w:rPr>
                    <w:t>检验</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6F946C38">
                  <w:pPr>
                    <w:spacing w:line="240" w:lineRule="auto"/>
                    <w:jc w:val="center"/>
                    <w:rPr>
                      <w:rFonts w:ascii="宋体" w:hAnsi="宋体" w:eastAsia="宋体"/>
                      <w:sz w:val="18"/>
                      <w:szCs w:val="18"/>
                    </w:rPr>
                  </w:pPr>
                  <w:r>
                    <w:rPr>
                      <w:rFonts w:ascii="宋体" w:hAnsi="宋体" w:eastAsia="宋体"/>
                      <w:sz w:val="18"/>
                      <w:szCs w:val="18"/>
                    </w:rPr>
                    <w:t>大型生化仪器</w:t>
                  </w:r>
                </w:p>
              </w:tc>
              <w:tc>
                <w:tcPr>
                  <w:tcW w:w="258" w:type="dxa"/>
                  <w:tcBorders>
                    <w:top w:val="single" w:color="auto" w:sz="4" w:space="0"/>
                    <w:left w:val="single" w:color="auto" w:sz="8" w:space="0"/>
                    <w:bottom w:val="single" w:color="auto" w:sz="4" w:space="0"/>
                    <w:right w:val="single" w:color="auto" w:sz="4" w:space="0"/>
                  </w:tcBorders>
                  <w:vAlign w:val="center"/>
                </w:tcPr>
                <w:p w14:paraId="2C089742">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609F7CA4">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617D8C39">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28794F15">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4" w:space="0"/>
                  </w:tcBorders>
                  <w:vAlign w:val="center"/>
                </w:tcPr>
                <w:p w14:paraId="50DBB371">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177FD596">
                  <w:pPr>
                    <w:spacing w:line="240" w:lineRule="auto"/>
                    <w:jc w:val="center"/>
                    <w:rPr>
                      <w:rFonts w:ascii="宋体" w:hAnsi="宋体" w:eastAsia="宋体"/>
                      <w:sz w:val="18"/>
                      <w:szCs w:val="18"/>
                    </w:rPr>
                  </w:pPr>
                </w:p>
              </w:tc>
            </w:tr>
            <w:tr w14:paraId="49096E5D">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2AAEB7F9">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0BD4A141">
                  <w:pPr>
                    <w:spacing w:line="240" w:lineRule="auto"/>
                    <w:jc w:val="center"/>
                    <w:rPr>
                      <w:rFonts w:ascii="宋体" w:hAnsi="宋体" w:eastAsia="宋体"/>
                      <w:sz w:val="18"/>
                      <w:szCs w:val="18"/>
                    </w:rPr>
                  </w:pPr>
                  <w:r>
                    <w:rPr>
                      <w:rFonts w:ascii="宋体" w:hAnsi="宋体" w:eastAsia="宋体"/>
                      <w:sz w:val="18"/>
                      <w:szCs w:val="18"/>
                    </w:rPr>
                    <w:t>一般仪器</w:t>
                  </w:r>
                </w:p>
              </w:tc>
              <w:tc>
                <w:tcPr>
                  <w:tcW w:w="258" w:type="dxa"/>
                  <w:tcBorders>
                    <w:top w:val="single" w:color="auto" w:sz="4" w:space="0"/>
                    <w:left w:val="single" w:color="auto" w:sz="8" w:space="0"/>
                    <w:bottom w:val="single" w:color="auto" w:sz="4" w:space="0"/>
                    <w:right w:val="single" w:color="auto" w:sz="4" w:space="0"/>
                  </w:tcBorders>
                  <w:vAlign w:val="center"/>
                </w:tcPr>
                <w:p w14:paraId="773B0444">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2E1F93C0">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0C73E7B9">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558D55CF">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2A21C97B">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6D3B4102">
                  <w:pPr>
                    <w:spacing w:line="240" w:lineRule="auto"/>
                    <w:jc w:val="center"/>
                    <w:rPr>
                      <w:rFonts w:ascii="宋体" w:hAnsi="宋体" w:eastAsia="宋体"/>
                      <w:sz w:val="18"/>
                      <w:szCs w:val="18"/>
                    </w:rPr>
                  </w:pPr>
                </w:p>
              </w:tc>
            </w:tr>
            <w:tr w14:paraId="7A542189">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09DBCCE4">
                  <w:pPr>
                    <w:spacing w:line="240" w:lineRule="auto"/>
                    <w:jc w:val="center"/>
                    <w:rPr>
                      <w:rFonts w:ascii="宋体" w:hAnsi="宋体" w:eastAsia="宋体"/>
                      <w:sz w:val="18"/>
                      <w:szCs w:val="18"/>
                    </w:rPr>
                  </w:pPr>
                  <w:r>
                    <w:rPr>
                      <w:rFonts w:ascii="宋体" w:hAnsi="宋体" w:eastAsia="宋体"/>
                      <w:sz w:val="18"/>
                      <w:szCs w:val="18"/>
                    </w:rPr>
                    <w:t>核医学</w:t>
                  </w:r>
                </w:p>
              </w:tc>
              <w:tc>
                <w:tcPr>
                  <w:tcW w:w="1228" w:type="dxa"/>
                  <w:tcBorders>
                    <w:top w:val="single" w:color="auto" w:sz="4" w:space="0"/>
                    <w:left w:val="single" w:color="auto" w:sz="4" w:space="0"/>
                    <w:bottom w:val="single" w:color="auto" w:sz="4" w:space="0"/>
                    <w:right w:val="single" w:color="auto" w:sz="8" w:space="0"/>
                  </w:tcBorders>
                  <w:vAlign w:val="center"/>
                </w:tcPr>
                <w:p w14:paraId="504FF7E8">
                  <w:pPr>
                    <w:spacing w:line="240" w:lineRule="auto"/>
                    <w:jc w:val="center"/>
                    <w:rPr>
                      <w:rFonts w:ascii="宋体" w:hAnsi="宋体" w:eastAsia="宋体"/>
                      <w:sz w:val="18"/>
                      <w:szCs w:val="18"/>
                    </w:rPr>
                  </w:pPr>
                  <w:r>
                    <w:rPr>
                      <w:rFonts w:ascii="宋体" w:hAnsi="宋体" w:eastAsia="宋体"/>
                      <w:sz w:val="18"/>
                      <w:szCs w:val="18"/>
                    </w:rPr>
                    <w:t>ECT扫描间、PET扫描间、γ像机、服药、注射</w:t>
                  </w:r>
                </w:p>
              </w:tc>
              <w:tc>
                <w:tcPr>
                  <w:tcW w:w="258" w:type="dxa"/>
                  <w:tcBorders>
                    <w:top w:val="single" w:color="auto" w:sz="4" w:space="0"/>
                    <w:left w:val="single" w:color="auto" w:sz="8" w:space="0"/>
                    <w:bottom w:val="single" w:color="auto" w:sz="4" w:space="0"/>
                    <w:right w:val="single" w:color="auto" w:sz="4" w:space="0"/>
                  </w:tcBorders>
                  <w:vAlign w:val="center"/>
                </w:tcPr>
                <w:p w14:paraId="26E65826">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6DD06D9D">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700A08A2">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4BFA1E9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55739A49">
                  <w:pPr>
                    <w:spacing w:line="240" w:lineRule="auto"/>
                    <w:jc w:val="center"/>
                    <w:rPr>
                      <w:rFonts w:ascii="宋体" w:hAnsi="宋体" w:eastAsia="宋体"/>
                      <w:sz w:val="18"/>
                      <w:szCs w:val="18"/>
                    </w:rPr>
                  </w:pPr>
                  <w:r>
                    <w:rPr>
                      <w:rFonts w:ascii="宋体" w:hAnsi="宋体" w:eastAsia="宋体"/>
                      <w:sz w:val="18"/>
                      <w:szCs w:val="18"/>
                    </w:rPr>
                    <w:t>X</w:t>
                  </w:r>
                  <w:r>
                    <w:rPr>
                      <w:rFonts w:ascii="宋体" w:hAnsi="宋体" w:eastAsia="宋体"/>
                      <w:sz w:val="18"/>
                      <w:szCs w:val="18"/>
                      <w:bdr w:val="single" w:color="auto" w:sz="4" w:space="0"/>
                    </w:rPr>
                    <w:t>a</w:t>
                  </w:r>
                </w:p>
              </w:tc>
              <w:tc>
                <w:tcPr>
                  <w:tcW w:w="469" w:type="dxa"/>
                  <w:tcBorders>
                    <w:top w:val="single" w:color="auto" w:sz="4" w:space="0"/>
                    <w:left w:val="single" w:color="auto" w:sz="4" w:space="0"/>
                    <w:bottom w:val="single" w:color="auto" w:sz="4" w:space="0"/>
                    <w:right w:val="single" w:color="auto" w:sz="8" w:space="0"/>
                  </w:tcBorders>
                  <w:vAlign w:val="center"/>
                </w:tcPr>
                <w:p w14:paraId="4EF2B4CA">
                  <w:pPr>
                    <w:spacing w:line="240" w:lineRule="auto"/>
                    <w:jc w:val="center"/>
                    <w:rPr>
                      <w:rFonts w:ascii="宋体" w:hAnsi="宋体" w:eastAsia="宋体"/>
                      <w:sz w:val="18"/>
                      <w:szCs w:val="18"/>
                    </w:rPr>
                  </w:pPr>
                </w:p>
              </w:tc>
            </w:tr>
            <w:tr w14:paraId="4C1262F1">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089780A1">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372E5DB5">
                  <w:pPr>
                    <w:spacing w:line="240" w:lineRule="auto"/>
                    <w:jc w:val="center"/>
                    <w:rPr>
                      <w:rFonts w:ascii="宋体" w:hAnsi="宋体" w:eastAsia="宋体"/>
                      <w:sz w:val="18"/>
                      <w:szCs w:val="18"/>
                    </w:rPr>
                  </w:pPr>
                  <w:r>
                    <w:rPr>
                      <w:rFonts w:ascii="宋体" w:hAnsi="宋体" w:eastAsia="宋体"/>
                      <w:sz w:val="18"/>
                      <w:szCs w:val="18"/>
                    </w:rPr>
                    <w:t>试剂培制、储源室、分装室、功能测试室、实验室、计量室、</w:t>
                  </w:r>
                </w:p>
              </w:tc>
              <w:tc>
                <w:tcPr>
                  <w:tcW w:w="258" w:type="dxa"/>
                  <w:tcBorders>
                    <w:top w:val="single" w:color="auto" w:sz="4" w:space="0"/>
                    <w:left w:val="single" w:color="auto" w:sz="8" w:space="0"/>
                    <w:bottom w:val="single" w:color="auto" w:sz="4" w:space="0"/>
                    <w:right w:val="single" w:color="auto" w:sz="4" w:space="0"/>
                  </w:tcBorders>
                  <w:vAlign w:val="center"/>
                </w:tcPr>
                <w:p w14:paraId="08CDAB98">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553C9A98">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110391CA">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50FC9A5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05B90E84">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276E7F73">
                  <w:pPr>
                    <w:spacing w:line="240" w:lineRule="auto"/>
                    <w:jc w:val="center"/>
                    <w:rPr>
                      <w:rFonts w:ascii="宋体" w:hAnsi="宋体" w:eastAsia="宋体"/>
                      <w:sz w:val="18"/>
                      <w:szCs w:val="18"/>
                    </w:rPr>
                  </w:pPr>
                </w:p>
              </w:tc>
            </w:tr>
            <w:tr w14:paraId="5E72F67B">
              <w:tblPrEx>
                <w:tblCellMar>
                  <w:top w:w="0" w:type="dxa"/>
                  <w:left w:w="28" w:type="dxa"/>
                  <w:bottom w:w="0" w:type="dxa"/>
                  <w:right w:w="28" w:type="dxa"/>
                </w:tblCellMar>
              </w:tblPrEx>
              <w:trPr>
                <w:cantSplit/>
                <w:trHeight w:val="20" w:hRule="atLeast"/>
              </w:trPr>
              <w:tc>
                <w:tcPr>
                  <w:tcW w:w="616" w:type="dxa"/>
                  <w:tcBorders>
                    <w:top w:val="single" w:color="auto" w:sz="4" w:space="0"/>
                    <w:left w:val="single" w:color="auto" w:sz="8" w:space="0"/>
                    <w:bottom w:val="single" w:color="auto" w:sz="4" w:space="0"/>
                    <w:right w:val="single" w:color="auto" w:sz="4" w:space="0"/>
                  </w:tcBorders>
                  <w:vAlign w:val="center"/>
                </w:tcPr>
                <w:p w14:paraId="786AA65E">
                  <w:pPr>
                    <w:spacing w:line="240" w:lineRule="auto"/>
                    <w:jc w:val="center"/>
                    <w:rPr>
                      <w:rFonts w:ascii="宋体" w:hAnsi="宋体" w:eastAsia="宋体"/>
                      <w:sz w:val="18"/>
                      <w:szCs w:val="18"/>
                    </w:rPr>
                  </w:pPr>
                  <w:r>
                    <w:rPr>
                      <w:rFonts w:ascii="宋体" w:hAnsi="宋体" w:eastAsia="宋体"/>
                      <w:sz w:val="18"/>
                      <w:szCs w:val="18"/>
                    </w:rPr>
                    <w:t>高压氧</w:t>
                  </w:r>
                </w:p>
              </w:tc>
              <w:tc>
                <w:tcPr>
                  <w:tcW w:w="1228" w:type="dxa"/>
                  <w:tcBorders>
                    <w:top w:val="single" w:color="auto" w:sz="4" w:space="0"/>
                    <w:left w:val="single" w:color="auto" w:sz="4" w:space="0"/>
                    <w:bottom w:val="single" w:color="auto" w:sz="4" w:space="0"/>
                    <w:right w:val="single" w:color="auto" w:sz="8" w:space="0"/>
                  </w:tcBorders>
                  <w:vAlign w:val="center"/>
                </w:tcPr>
                <w:p w14:paraId="2E7D56CA">
                  <w:pPr>
                    <w:spacing w:line="240" w:lineRule="auto"/>
                    <w:jc w:val="center"/>
                    <w:rPr>
                      <w:rFonts w:ascii="宋体" w:hAnsi="宋体" w:eastAsia="宋体"/>
                      <w:sz w:val="18"/>
                      <w:szCs w:val="18"/>
                    </w:rPr>
                  </w:pPr>
                  <w:r>
                    <w:rPr>
                      <w:rFonts w:ascii="宋体" w:hAnsi="宋体" w:eastAsia="宋体"/>
                      <w:sz w:val="18"/>
                      <w:szCs w:val="18"/>
                    </w:rPr>
                    <w:t>高压氧</w:t>
                  </w:r>
                  <w:r>
                    <w:rPr>
                      <w:rFonts w:hint="eastAsia" w:ascii="宋体" w:hAnsi="宋体" w:eastAsia="宋体"/>
                      <w:sz w:val="18"/>
                      <w:szCs w:val="18"/>
                    </w:rPr>
                    <w:t>舱</w:t>
                  </w:r>
                </w:p>
              </w:tc>
              <w:tc>
                <w:tcPr>
                  <w:tcW w:w="258" w:type="dxa"/>
                  <w:tcBorders>
                    <w:top w:val="single" w:color="auto" w:sz="4" w:space="0"/>
                    <w:left w:val="single" w:color="auto" w:sz="8" w:space="0"/>
                    <w:bottom w:val="single" w:color="auto" w:sz="4" w:space="0"/>
                    <w:right w:val="single" w:color="auto" w:sz="4" w:space="0"/>
                  </w:tcBorders>
                  <w:vAlign w:val="center"/>
                </w:tcPr>
                <w:p w14:paraId="197759ED">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4" w:space="0"/>
                  </w:tcBorders>
                  <w:vAlign w:val="center"/>
                </w:tcPr>
                <w:p w14:paraId="12C1AB13">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8" w:space="0"/>
                  </w:tcBorders>
                  <w:vAlign w:val="center"/>
                </w:tcPr>
                <w:p w14:paraId="2ACCA071">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0733CCCC">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694454FF">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7D7D9EE3">
                  <w:pPr>
                    <w:spacing w:line="240" w:lineRule="auto"/>
                    <w:jc w:val="center"/>
                    <w:rPr>
                      <w:rFonts w:ascii="宋体" w:hAnsi="宋体" w:eastAsia="宋体"/>
                      <w:sz w:val="18"/>
                      <w:szCs w:val="18"/>
                    </w:rPr>
                  </w:pPr>
                </w:p>
              </w:tc>
            </w:tr>
            <w:tr w14:paraId="09F86C9C">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7B66A625">
                  <w:pPr>
                    <w:spacing w:line="240" w:lineRule="auto"/>
                    <w:jc w:val="center"/>
                    <w:rPr>
                      <w:rFonts w:ascii="宋体" w:hAnsi="宋体" w:eastAsia="宋体"/>
                      <w:sz w:val="18"/>
                      <w:szCs w:val="18"/>
                    </w:rPr>
                  </w:pPr>
                  <w:r>
                    <w:rPr>
                      <w:rFonts w:ascii="宋体" w:hAnsi="宋体" w:eastAsia="宋体"/>
                      <w:sz w:val="18"/>
                      <w:szCs w:val="18"/>
                    </w:rPr>
                    <w:t>输血</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2C00D500">
                  <w:pPr>
                    <w:spacing w:line="240" w:lineRule="auto"/>
                    <w:jc w:val="center"/>
                    <w:rPr>
                      <w:rFonts w:ascii="宋体" w:hAnsi="宋体" w:eastAsia="宋体"/>
                      <w:sz w:val="18"/>
                      <w:szCs w:val="18"/>
                    </w:rPr>
                  </w:pPr>
                  <w:r>
                    <w:rPr>
                      <w:rFonts w:ascii="宋体" w:hAnsi="宋体" w:eastAsia="宋体"/>
                      <w:sz w:val="18"/>
                      <w:szCs w:val="18"/>
                    </w:rPr>
                    <w:t>贮血、</w:t>
                  </w:r>
                </w:p>
              </w:tc>
              <w:tc>
                <w:tcPr>
                  <w:tcW w:w="258" w:type="dxa"/>
                  <w:tcBorders>
                    <w:top w:val="single" w:color="auto" w:sz="4" w:space="0"/>
                    <w:left w:val="single" w:color="auto" w:sz="8" w:space="0"/>
                    <w:bottom w:val="single" w:color="auto" w:sz="4" w:space="0"/>
                    <w:right w:val="single" w:color="auto" w:sz="4" w:space="0"/>
                  </w:tcBorders>
                  <w:vAlign w:val="center"/>
                </w:tcPr>
                <w:p w14:paraId="36F828B5">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693E7B12">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1D046125">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4C0F88BB">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0AFD41EF">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30D712B1">
                  <w:pPr>
                    <w:spacing w:line="240" w:lineRule="auto"/>
                    <w:jc w:val="center"/>
                    <w:rPr>
                      <w:rFonts w:ascii="宋体" w:hAnsi="宋体" w:eastAsia="宋体"/>
                      <w:sz w:val="18"/>
                      <w:szCs w:val="18"/>
                    </w:rPr>
                  </w:pPr>
                </w:p>
              </w:tc>
            </w:tr>
            <w:tr w14:paraId="250B175A">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1A6B5E89">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24167AA6">
                  <w:pPr>
                    <w:spacing w:line="240" w:lineRule="auto"/>
                    <w:jc w:val="center"/>
                    <w:rPr>
                      <w:rFonts w:ascii="宋体" w:hAnsi="宋体" w:eastAsia="宋体"/>
                      <w:sz w:val="18"/>
                      <w:szCs w:val="18"/>
                    </w:rPr>
                  </w:pPr>
                  <w:r>
                    <w:rPr>
                      <w:rFonts w:ascii="宋体" w:hAnsi="宋体" w:eastAsia="宋体"/>
                      <w:sz w:val="18"/>
                      <w:szCs w:val="18"/>
                    </w:rPr>
                    <w:t>配血、发血</w:t>
                  </w:r>
                </w:p>
              </w:tc>
              <w:tc>
                <w:tcPr>
                  <w:tcW w:w="258" w:type="dxa"/>
                  <w:tcBorders>
                    <w:top w:val="single" w:color="auto" w:sz="4" w:space="0"/>
                    <w:left w:val="single" w:color="auto" w:sz="8" w:space="0"/>
                    <w:bottom w:val="single" w:color="auto" w:sz="4" w:space="0"/>
                    <w:right w:val="single" w:color="auto" w:sz="4" w:space="0"/>
                  </w:tcBorders>
                  <w:vAlign w:val="center"/>
                </w:tcPr>
                <w:p w14:paraId="0D6BF3B8">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0171A347">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7F918E91">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0E173E3A">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2CBAE527">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18F5D7D8">
                  <w:pPr>
                    <w:spacing w:line="240" w:lineRule="auto"/>
                    <w:jc w:val="center"/>
                    <w:rPr>
                      <w:rFonts w:ascii="宋体" w:hAnsi="宋体" w:eastAsia="宋体"/>
                      <w:sz w:val="18"/>
                      <w:szCs w:val="18"/>
                    </w:rPr>
                  </w:pPr>
                  <w:r>
                    <w:rPr>
                      <w:rFonts w:ascii="宋体" w:hAnsi="宋体" w:eastAsia="宋体"/>
                      <w:sz w:val="18"/>
                      <w:szCs w:val="18"/>
                    </w:rPr>
                    <w:t>X</w:t>
                  </w:r>
                </w:p>
              </w:tc>
            </w:tr>
            <w:tr w14:paraId="3BDF9737">
              <w:tblPrEx>
                <w:tblCellMar>
                  <w:top w:w="0" w:type="dxa"/>
                  <w:left w:w="28" w:type="dxa"/>
                  <w:bottom w:w="0" w:type="dxa"/>
                  <w:right w:w="28" w:type="dxa"/>
                </w:tblCellMar>
              </w:tblPrEx>
              <w:trPr>
                <w:cantSplit/>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358BA4CC">
                  <w:pPr>
                    <w:spacing w:line="240" w:lineRule="auto"/>
                    <w:jc w:val="center"/>
                    <w:rPr>
                      <w:rFonts w:ascii="宋体" w:hAnsi="宋体" w:eastAsia="宋体"/>
                      <w:sz w:val="18"/>
                      <w:szCs w:val="18"/>
                    </w:rPr>
                  </w:pPr>
                  <w:r>
                    <w:rPr>
                      <w:rFonts w:ascii="宋体" w:hAnsi="宋体" w:eastAsia="宋体"/>
                      <w:sz w:val="18"/>
                      <w:szCs w:val="18"/>
                    </w:rPr>
                    <w:t>病理</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493DFC6D">
                  <w:pPr>
                    <w:spacing w:line="240" w:lineRule="auto"/>
                    <w:jc w:val="center"/>
                    <w:rPr>
                      <w:rFonts w:ascii="宋体" w:hAnsi="宋体" w:eastAsia="宋体"/>
                      <w:sz w:val="18"/>
                      <w:szCs w:val="18"/>
                    </w:rPr>
                  </w:pPr>
                  <w:r>
                    <w:rPr>
                      <w:rFonts w:ascii="宋体" w:hAnsi="宋体" w:eastAsia="宋体"/>
                      <w:sz w:val="18"/>
                      <w:szCs w:val="18"/>
                    </w:rPr>
                    <w:t>取材、制片、镜检、</w:t>
                  </w:r>
                </w:p>
              </w:tc>
              <w:tc>
                <w:tcPr>
                  <w:tcW w:w="258" w:type="dxa"/>
                  <w:tcBorders>
                    <w:top w:val="single" w:color="auto" w:sz="4" w:space="0"/>
                    <w:left w:val="single" w:color="auto" w:sz="8" w:space="0"/>
                    <w:bottom w:val="single" w:color="auto" w:sz="4" w:space="0"/>
                    <w:right w:val="single" w:color="auto" w:sz="4" w:space="0"/>
                  </w:tcBorders>
                  <w:vAlign w:val="center"/>
                </w:tcPr>
                <w:p w14:paraId="6A09C506">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13D878CF">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729F59D0">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66457EBD">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131C145F">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37462FB8">
                  <w:pPr>
                    <w:spacing w:line="240" w:lineRule="auto"/>
                    <w:jc w:val="center"/>
                    <w:rPr>
                      <w:rFonts w:ascii="宋体" w:hAnsi="宋体" w:eastAsia="宋体"/>
                      <w:sz w:val="18"/>
                      <w:szCs w:val="18"/>
                    </w:rPr>
                  </w:pPr>
                </w:p>
              </w:tc>
            </w:tr>
            <w:tr w14:paraId="06962CF3">
              <w:tblPrEx>
                <w:tblCellMar>
                  <w:top w:w="0" w:type="dxa"/>
                  <w:left w:w="28" w:type="dxa"/>
                  <w:bottom w:w="0" w:type="dxa"/>
                  <w:right w:w="28" w:type="dxa"/>
                </w:tblCellMar>
              </w:tblPrEx>
              <w:trPr>
                <w:cantSplit/>
                <w:trHeight w:val="20" w:hRule="atLeast"/>
              </w:trPr>
              <w:tc>
                <w:tcPr>
                  <w:tcW w:w="616" w:type="dxa"/>
                  <w:vMerge w:val="continue"/>
                  <w:tcBorders>
                    <w:top w:val="single" w:color="auto" w:sz="4" w:space="0"/>
                    <w:left w:val="single" w:color="auto" w:sz="8" w:space="0"/>
                    <w:bottom w:val="single" w:color="auto" w:sz="4" w:space="0"/>
                    <w:right w:val="single" w:color="auto" w:sz="4" w:space="0"/>
                  </w:tcBorders>
                  <w:vAlign w:val="center"/>
                </w:tcPr>
                <w:p w14:paraId="0BB8FC90">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52BDE326">
                  <w:pPr>
                    <w:spacing w:line="240" w:lineRule="auto"/>
                    <w:jc w:val="center"/>
                    <w:rPr>
                      <w:rFonts w:ascii="宋体" w:hAnsi="宋体" w:eastAsia="宋体"/>
                      <w:sz w:val="18"/>
                      <w:szCs w:val="18"/>
                    </w:rPr>
                  </w:pPr>
                  <w:r>
                    <w:rPr>
                      <w:rFonts w:ascii="宋体" w:hAnsi="宋体" w:eastAsia="宋体"/>
                      <w:sz w:val="18"/>
                      <w:szCs w:val="18"/>
                    </w:rPr>
                    <w:t>病理解剖、</w:t>
                  </w:r>
                </w:p>
              </w:tc>
              <w:tc>
                <w:tcPr>
                  <w:tcW w:w="258" w:type="dxa"/>
                  <w:tcBorders>
                    <w:top w:val="single" w:color="auto" w:sz="4" w:space="0"/>
                    <w:left w:val="single" w:color="auto" w:sz="8" w:space="0"/>
                    <w:bottom w:val="single" w:color="auto" w:sz="4" w:space="0"/>
                    <w:right w:val="single" w:color="auto" w:sz="4" w:space="0"/>
                  </w:tcBorders>
                  <w:vAlign w:val="center"/>
                </w:tcPr>
                <w:p w14:paraId="59C0038B">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3654C410">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6CF2681C">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2A90F342">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15D0F2D6">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0C00B6A4">
                  <w:pPr>
                    <w:spacing w:line="240" w:lineRule="auto"/>
                    <w:jc w:val="center"/>
                    <w:rPr>
                      <w:rFonts w:ascii="宋体" w:hAnsi="宋体" w:eastAsia="宋体"/>
                      <w:sz w:val="18"/>
                      <w:szCs w:val="18"/>
                    </w:rPr>
                  </w:pPr>
                  <w:r>
                    <w:rPr>
                      <w:rFonts w:ascii="宋体" w:hAnsi="宋体" w:eastAsia="宋体"/>
                      <w:sz w:val="18"/>
                      <w:szCs w:val="18"/>
                    </w:rPr>
                    <w:t>X</w:t>
                  </w:r>
                </w:p>
              </w:tc>
            </w:tr>
            <w:tr w14:paraId="6EF90B63">
              <w:tblPrEx>
                <w:tblCellMar>
                  <w:top w:w="0" w:type="dxa"/>
                  <w:left w:w="28" w:type="dxa"/>
                  <w:bottom w:w="0" w:type="dxa"/>
                  <w:right w:w="28" w:type="dxa"/>
                </w:tblCellMar>
              </w:tblPrEx>
              <w:trPr>
                <w:trHeight w:val="20" w:hRule="atLeast"/>
              </w:trPr>
              <w:tc>
                <w:tcPr>
                  <w:tcW w:w="616" w:type="dxa"/>
                  <w:tcBorders>
                    <w:top w:val="single" w:color="auto" w:sz="4" w:space="0"/>
                    <w:left w:val="single" w:color="auto" w:sz="8" w:space="0"/>
                    <w:bottom w:val="single" w:color="auto" w:sz="4" w:space="0"/>
                    <w:right w:val="single" w:color="auto" w:sz="4" w:space="0"/>
                  </w:tcBorders>
                  <w:noWrap/>
                  <w:vAlign w:val="center"/>
                </w:tcPr>
                <w:p w14:paraId="4A472BBC">
                  <w:pPr>
                    <w:spacing w:line="240" w:lineRule="auto"/>
                    <w:jc w:val="center"/>
                    <w:rPr>
                      <w:rFonts w:ascii="宋体" w:hAnsi="宋体" w:eastAsia="宋体"/>
                      <w:sz w:val="18"/>
                      <w:szCs w:val="18"/>
                    </w:rPr>
                  </w:pPr>
                  <w:r>
                    <w:rPr>
                      <w:rFonts w:ascii="宋体" w:hAnsi="宋体" w:eastAsia="宋体"/>
                      <w:sz w:val="18"/>
                      <w:szCs w:val="18"/>
                    </w:rPr>
                    <w:t>药剂</w:t>
                  </w:r>
                  <w:r>
                    <w:rPr>
                      <w:rFonts w:hint="eastAsia" w:ascii="宋体" w:hAnsi="宋体" w:eastAsia="宋体"/>
                      <w:sz w:val="18"/>
                      <w:szCs w:val="18"/>
                    </w:rPr>
                    <w:t>科</w:t>
                  </w:r>
                </w:p>
              </w:tc>
              <w:tc>
                <w:tcPr>
                  <w:tcW w:w="1228" w:type="dxa"/>
                  <w:tcBorders>
                    <w:top w:val="single" w:color="auto" w:sz="4" w:space="0"/>
                    <w:left w:val="single" w:color="auto" w:sz="4" w:space="0"/>
                    <w:bottom w:val="single" w:color="auto" w:sz="4" w:space="0"/>
                    <w:right w:val="single" w:color="auto" w:sz="8" w:space="0"/>
                  </w:tcBorders>
                  <w:vAlign w:val="center"/>
                </w:tcPr>
                <w:p w14:paraId="2765B3C0">
                  <w:pPr>
                    <w:spacing w:line="240" w:lineRule="auto"/>
                    <w:jc w:val="center"/>
                    <w:rPr>
                      <w:rFonts w:ascii="宋体" w:hAnsi="宋体" w:eastAsia="宋体"/>
                      <w:sz w:val="18"/>
                      <w:szCs w:val="18"/>
                    </w:rPr>
                  </w:pPr>
                  <w:r>
                    <w:rPr>
                      <w:rFonts w:ascii="宋体" w:hAnsi="宋体" w:eastAsia="宋体"/>
                      <w:sz w:val="18"/>
                      <w:szCs w:val="18"/>
                    </w:rPr>
                    <w:t>贵重药品冷库</w:t>
                  </w:r>
                </w:p>
              </w:tc>
              <w:tc>
                <w:tcPr>
                  <w:tcW w:w="258" w:type="dxa"/>
                  <w:tcBorders>
                    <w:top w:val="single" w:color="auto" w:sz="4" w:space="0"/>
                    <w:left w:val="single" w:color="auto" w:sz="8" w:space="0"/>
                    <w:bottom w:val="single" w:color="auto" w:sz="4" w:space="0"/>
                    <w:right w:val="single" w:color="auto" w:sz="4" w:space="0"/>
                  </w:tcBorders>
                  <w:vAlign w:val="center"/>
                </w:tcPr>
                <w:p w14:paraId="03AD882C">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334DB509">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4726E4D3">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3A25423A">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426A812A">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0AE9F6C9">
                  <w:pPr>
                    <w:spacing w:line="240" w:lineRule="auto"/>
                    <w:jc w:val="center"/>
                    <w:rPr>
                      <w:rFonts w:ascii="宋体" w:hAnsi="宋体" w:eastAsia="宋体"/>
                      <w:sz w:val="18"/>
                      <w:szCs w:val="18"/>
                    </w:rPr>
                  </w:pPr>
                  <w:r>
                    <w:rPr>
                      <w:rFonts w:ascii="宋体" w:hAnsi="宋体" w:eastAsia="宋体"/>
                      <w:sz w:val="18"/>
                      <w:szCs w:val="18"/>
                    </w:rPr>
                    <w:t>X</w:t>
                  </w:r>
                  <w:r>
                    <w:rPr>
                      <w:rFonts w:ascii="宋体" w:hAnsi="宋体" w:eastAsia="宋体"/>
                      <w:sz w:val="18"/>
                      <w:szCs w:val="18"/>
                      <w:bdr w:val="single" w:color="auto" w:sz="4" w:space="0"/>
                    </w:rPr>
                    <w:t>c</w:t>
                  </w:r>
                </w:p>
              </w:tc>
            </w:tr>
            <w:tr w14:paraId="27033D6F">
              <w:tblPrEx>
                <w:tblCellMar>
                  <w:top w:w="0" w:type="dxa"/>
                  <w:left w:w="28" w:type="dxa"/>
                  <w:bottom w:w="0" w:type="dxa"/>
                  <w:right w:w="28" w:type="dxa"/>
                </w:tblCellMar>
              </w:tblPrEx>
              <w:trPr>
                <w:trHeight w:val="20" w:hRule="atLeast"/>
              </w:trPr>
              <w:tc>
                <w:tcPr>
                  <w:tcW w:w="616" w:type="dxa"/>
                  <w:vMerge w:val="restart"/>
                  <w:tcBorders>
                    <w:top w:val="single" w:color="auto" w:sz="4" w:space="0"/>
                    <w:left w:val="single" w:color="auto" w:sz="8" w:space="0"/>
                    <w:bottom w:val="single" w:color="auto" w:sz="4" w:space="0"/>
                    <w:right w:val="single" w:color="auto" w:sz="4" w:space="0"/>
                  </w:tcBorders>
                  <w:noWrap/>
                  <w:vAlign w:val="center"/>
                </w:tcPr>
                <w:p w14:paraId="6336CB46">
                  <w:pPr>
                    <w:spacing w:line="240" w:lineRule="auto"/>
                    <w:jc w:val="center"/>
                    <w:rPr>
                      <w:rFonts w:ascii="宋体" w:hAnsi="宋体" w:eastAsia="宋体"/>
                      <w:sz w:val="18"/>
                      <w:szCs w:val="18"/>
                    </w:rPr>
                  </w:pPr>
                  <w:r>
                    <w:rPr>
                      <w:rFonts w:hint="eastAsia" w:ascii="宋体" w:hAnsi="宋体" w:eastAsia="宋体"/>
                      <w:sz w:val="18"/>
                      <w:szCs w:val="18"/>
                    </w:rPr>
                    <w:t>保障</w:t>
                  </w:r>
                  <w:r>
                    <w:rPr>
                      <w:rFonts w:ascii="宋体" w:hAnsi="宋体" w:eastAsia="宋体"/>
                      <w:sz w:val="18"/>
                      <w:szCs w:val="18"/>
                    </w:rPr>
                    <w:br w:type="textWrapping"/>
                  </w:r>
                  <w:r>
                    <w:rPr>
                      <w:rFonts w:hint="eastAsia" w:ascii="宋体" w:hAnsi="宋体" w:eastAsia="宋体"/>
                      <w:sz w:val="18"/>
                      <w:szCs w:val="18"/>
                    </w:rPr>
                    <w:t>系统</w:t>
                  </w:r>
                </w:p>
              </w:tc>
              <w:tc>
                <w:tcPr>
                  <w:tcW w:w="1228" w:type="dxa"/>
                  <w:tcBorders>
                    <w:top w:val="single" w:color="auto" w:sz="4" w:space="0"/>
                    <w:left w:val="single" w:color="auto" w:sz="4" w:space="0"/>
                    <w:bottom w:val="single" w:color="auto" w:sz="4" w:space="0"/>
                    <w:right w:val="single" w:color="auto" w:sz="8" w:space="0"/>
                  </w:tcBorders>
                  <w:vAlign w:val="center"/>
                </w:tcPr>
                <w:p w14:paraId="48213570">
                  <w:pPr>
                    <w:spacing w:line="240" w:lineRule="auto"/>
                    <w:jc w:val="center"/>
                    <w:rPr>
                      <w:rFonts w:ascii="宋体" w:hAnsi="宋体" w:eastAsia="宋体"/>
                      <w:sz w:val="18"/>
                      <w:szCs w:val="18"/>
                    </w:rPr>
                  </w:pPr>
                  <w:r>
                    <w:rPr>
                      <w:rFonts w:ascii="宋体" w:hAnsi="宋体" w:eastAsia="宋体"/>
                      <w:sz w:val="18"/>
                      <w:szCs w:val="18"/>
                    </w:rPr>
                    <w:t>医用气体供应系统</w:t>
                  </w:r>
                </w:p>
              </w:tc>
              <w:tc>
                <w:tcPr>
                  <w:tcW w:w="258" w:type="dxa"/>
                  <w:tcBorders>
                    <w:top w:val="single" w:color="auto" w:sz="4" w:space="0"/>
                    <w:left w:val="single" w:color="auto" w:sz="8" w:space="0"/>
                    <w:bottom w:val="single" w:color="auto" w:sz="4" w:space="0"/>
                    <w:right w:val="single" w:color="auto" w:sz="4" w:space="0"/>
                  </w:tcBorders>
                  <w:vAlign w:val="center"/>
                </w:tcPr>
                <w:p w14:paraId="3D0BF0F0">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0E270C92">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0B19E74D">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BCB3987">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3E6AF7F7">
                  <w:pPr>
                    <w:spacing w:line="240" w:lineRule="auto"/>
                    <w:jc w:val="center"/>
                    <w:rPr>
                      <w:rFonts w:ascii="宋体" w:hAnsi="宋体" w:eastAsia="宋体"/>
                      <w:sz w:val="18"/>
                      <w:szCs w:val="18"/>
                    </w:rPr>
                  </w:pPr>
                  <w:r>
                    <w:rPr>
                      <w:rFonts w:ascii="宋体" w:hAnsi="宋体" w:eastAsia="宋体"/>
                      <w:sz w:val="18"/>
                      <w:szCs w:val="18"/>
                    </w:rPr>
                    <w:t>X</w:t>
                  </w:r>
                </w:p>
              </w:tc>
              <w:tc>
                <w:tcPr>
                  <w:tcW w:w="469" w:type="dxa"/>
                  <w:tcBorders>
                    <w:top w:val="single" w:color="auto" w:sz="4" w:space="0"/>
                    <w:left w:val="single" w:color="auto" w:sz="4" w:space="0"/>
                    <w:bottom w:val="single" w:color="auto" w:sz="4" w:space="0"/>
                    <w:right w:val="single" w:color="auto" w:sz="8" w:space="0"/>
                  </w:tcBorders>
                  <w:vAlign w:val="center"/>
                </w:tcPr>
                <w:p w14:paraId="28B78564">
                  <w:pPr>
                    <w:spacing w:line="240" w:lineRule="auto"/>
                    <w:jc w:val="center"/>
                    <w:rPr>
                      <w:rFonts w:ascii="宋体" w:hAnsi="宋体" w:eastAsia="宋体"/>
                      <w:sz w:val="18"/>
                      <w:szCs w:val="18"/>
                    </w:rPr>
                  </w:pPr>
                </w:p>
              </w:tc>
            </w:tr>
            <w:tr w14:paraId="3C9CE98A">
              <w:tblPrEx>
                <w:tblCellMar>
                  <w:top w:w="0" w:type="dxa"/>
                  <w:left w:w="28" w:type="dxa"/>
                  <w:bottom w:w="0" w:type="dxa"/>
                  <w:right w:w="28" w:type="dxa"/>
                </w:tblCellMar>
              </w:tblPrEx>
              <w:trPr>
                <w:trHeight w:val="20" w:hRule="atLeast"/>
              </w:trPr>
              <w:tc>
                <w:tcPr>
                  <w:tcW w:w="616" w:type="dxa"/>
                  <w:vMerge w:val="continue"/>
                  <w:tcBorders>
                    <w:top w:val="single" w:color="auto" w:sz="4" w:space="0"/>
                    <w:left w:val="single" w:color="auto" w:sz="8" w:space="0"/>
                    <w:bottom w:val="single" w:color="auto" w:sz="4" w:space="0"/>
                    <w:right w:val="single" w:color="auto" w:sz="4" w:space="0"/>
                  </w:tcBorders>
                  <w:noWrap/>
                  <w:vAlign w:val="center"/>
                </w:tcPr>
                <w:p w14:paraId="0EEA5877">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4F508A26">
                  <w:pPr>
                    <w:spacing w:line="240" w:lineRule="auto"/>
                    <w:jc w:val="center"/>
                    <w:rPr>
                      <w:rFonts w:ascii="宋体" w:hAnsi="宋体" w:eastAsia="宋体"/>
                      <w:sz w:val="18"/>
                      <w:szCs w:val="18"/>
                    </w:rPr>
                  </w:pPr>
                  <w:r>
                    <w:rPr>
                      <w:rFonts w:ascii="宋体" w:hAnsi="宋体" w:eastAsia="宋体"/>
                      <w:sz w:val="18"/>
                      <w:szCs w:val="18"/>
                      <w:bdr w:val="single" w:color="auto" w:sz="4" w:space="0"/>
                    </w:rPr>
                    <w:t>消防电梯、排烟系统、中央监控系统、火灾警报以及灭火系统</w:t>
                  </w:r>
                </w:p>
              </w:tc>
              <w:tc>
                <w:tcPr>
                  <w:tcW w:w="258" w:type="dxa"/>
                  <w:tcBorders>
                    <w:top w:val="single" w:color="auto" w:sz="4" w:space="0"/>
                    <w:left w:val="single" w:color="auto" w:sz="8" w:space="0"/>
                    <w:bottom w:val="single" w:color="auto" w:sz="4" w:space="0"/>
                    <w:right w:val="single" w:color="auto" w:sz="4" w:space="0"/>
                  </w:tcBorders>
                  <w:vAlign w:val="center"/>
                </w:tcPr>
                <w:p w14:paraId="5FD0A121">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258" w:type="dxa"/>
                  <w:tcBorders>
                    <w:top w:val="single" w:color="auto" w:sz="4" w:space="0"/>
                    <w:left w:val="single" w:color="auto" w:sz="4" w:space="0"/>
                    <w:bottom w:val="single" w:color="auto" w:sz="4" w:space="0"/>
                    <w:right w:val="single" w:color="auto" w:sz="4" w:space="0"/>
                  </w:tcBorders>
                  <w:vAlign w:val="center"/>
                </w:tcPr>
                <w:p w14:paraId="61C25A35">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780BA0AE">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12035F5">
                  <w:pPr>
                    <w:spacing w:line="240" w:lineRule="auto"/>
                    <w:jc w:val="center"/>
                    <w:rPr>
                      <w:rFonts w:ascii="宋体" w:hAnsi="宋体" w:eastAsia="宋体"/>
                      <w:sz w:val="18"/>
                      <w:szCs w:val="18"/>
                      <w:u w:val="single"/>
                    </w:rPr>
                  </w:pPr>
                </w:p>
              </w:tc>
              <w:tc>
                <w:tcPr>
                  <w:tcW w:w="469" w:type="dxa"/>
                  <w:tcBorders>
                    <w:top w:val="single" w:color="auto" w:sz="4" w:space="0"/>
                    <w:left w:val="single" w:color="auto" w:sz="4" w:space="0"/>
                    <w:bottom w:val="single" w:color="auto" w:sz="4" w:space="0"/>
                    <w:right w:val="single" w:color="auto" w:sz="4" w:space="0"/>
                  </w:tcBorders>
                  <w:vAlign w:val="center"/>
                </w:tcPr>
                <w:p w14:paraId="7BC2F6DB">
                  <w:pPr>
                    <w:spacing w:line="240" w:lineRule="auto"/>
                    <w:jc w:val="center"/>
                    <w:rPr>
                      <w:rFonts w:ascii="宋体" w:hAnsi="宋体" w:eastAsia="宋体"/>
                      <w:sz w:val="18"/>
                      <w:szCs w:val="18"/>
                    </w:rPr>
                  </w:pPr>
                  <w:r>
                    <w:rPr>
                      <w:rFonts w:ascii="宋体" w:hAnsi="宋体" w:eastAsia="宋体"/>
                      <w:sz w:val="18"/>
                      <w:szCs w:val="18"/>
                      <w:bdr w:val="single" w:color="auto" w:sz="4" w:space="0"/>
                    </w:rPr>
                    <w:t>X</w:t>
                  </w:r>
                </w:p>
              </w:tc>
              <w:tc>
                <w:tcPr>
                  <w:tcW w:w="469" w:type="dxa"/>
                  <w:tcBorders>
                    <w:top w:val="single" w:color="auto" w:sz="4" w:space="0"/>
                    <w:left w:val="single" w:color="auto" w:sz="4" w:space="0"/>
                    <w:bottom w:val="single" w:color="auto" w:sz="4" w:space="0"/>
                    <w:right w:val="single" w:color="auto" w:sz="8" w:space="0"/>
                  </w:tcBorders>
                  <w:vAlign w:val="center"/>
                </w:tcPr>
                <w:p w14:paraId="01851D55">
                  <w:pPr>
                    <w:spacing w:line="240" w:lineRule="auto"/>
                    <w:jc w:val="center"/>
                    <w:rPr>
                      <w:rFonts w:ascii="宋体" w:hAnsi="宋体" w:eastAsia="宋体"/>
                      <w:sz w:val="18"/>
                      <w:szCs w:val="18"/>
                    </w:rPr>
                  </w:pPr>
                </w:p>
              </w:tc>
            </w:tr>
            <w:tr w14:paraId="4CCE484B">
              <w:tblPrEx>
                <w:tblCellMar>
                  <w:top w:w="0" w:type="dxa"/>
                  <w:left w:w="28" w:type="dxa"/>
                  <w:bottom w:w="0" w:type="dxa"/>
                  <w:right w:w="28" w:type="dxa"/>
                </w:tblCellMar>
              </w:tblPrEx>
              <w:trPr>
                <w:trHeight w:val="20" w:hRule="atLeast"/>
              </w:trPr>
              <w:tc>
                <w:tcPr>
                  <w:tcW w:w="616" w:type="dxa"/>
                  <w:vMerge w:val="continue"/>
                  <w:tcBorders>
                    <w:top w:val="single" w:color="auto" w:sz="4" w:space="0"/>
                    <w:left w:val="single" w:color="auto" w:sz="8" w:space="0"/>
                    <w:bottom w:val="single" w:color="auto" w:sz="4" w:space="0"/>
                    <w:right w:val="single" w:color="auto" w:sz="4" w:space="0"/>
                  </w:tcBorders>
                  <w:noWrap/>
                  <w:vAlign w:val="center"/>
                </w:tcPr>
                <w:p w14:paraId="6AB83630">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4" w:space="0"/>
                    <w:right w:val="single" w:color="auto" w:sz="8" w:space="0"/>
                  </w:tcBorders>
                  <w:vAlign w:val="center"/>
                </w:tcPr>
                <w:p w14:paraId="3803AE39">
                  <w:pPr>
                    <w:spacing w:line="240" w:lineRule="auto"/>
                    <w:jc w:val="center"/>
                    <w:rPr>
                      <w:rFonts w:ascii="宋体" w:hAnsi="宋体" w:eastAsia="宋体"/>
                      <w:sz w:val="18"/>
                      <w:szCs w:val="18"/>
                    </w:rPr>
                  </w:pPr>
                  <w:r>
                    <w:rPr>
                      <w:rFonts w:ascii="宋体" w:hAnsi="宋体" w:eastAsia="宋体"/>
                      <w:sz w:val="18"/>
                      <w:szCs w:val="18"/>
                    </w:rPr>
                    <w:t>中心（消毒）供应室、空气净化机组</w:t>
                  </w:r>
                </w:p>
              </w:tc>
              <w:tc>
                <w:tcPr>
                  <w:tcW w:w="258" w:type="dxa"/>
                  <w:tcBorders>
                    <w:top w:val="single" w:color="auto" w:sz="4" w:space="0"/>
                    <w:left w:val="single" w:color="auto" w:sz="8" w:space="0"/>
                    <w:bottom w:val="single" w:color="auto" w:sz="4" w:space="0"/>
                    <w:right w:val="single" w:color="auto" w:sz="4" w:space="0"/>
                  </w:tcBorders>
                  <w:vAlign w:val="center"/>
                </w:tcPr>
                <w:p w14:paraId="003F91EF">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4" w:space="0"/>
                    <w:right w:val="single" w:color="auto" w:sz="4" w:space="0"/>
                  </w:tcBorders>
                  <w:vAlign w:val="center"/>
                </w:tcPr>
                <w:p w14:paraId="21CE2D68">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4" w:space="0"/>
                    <w:right w:val="single" w:color="auto" w:sz="8" w:space="0"/>
                  </w:tcBorders>
                  <w:vAlign w:val="center"/>
                </w:tcPr>
                <w:p w14:paraId="7DB0AF5E">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4" w:space="0"/>
                    <w:right w:val="single" w:color="auto" w:sz="4" w:space="0"/>
                  </w:tcBorders>
                  <w:vAlign w:val="center"/>
                </w:tcPr>
                <w:p w14:paraId="7E44A766">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4" w:space="0"/>
                  </w:tcBorders>
                  <w:vAlign w:val="center"/>
                </w:tcPr>
                <w:p w14:paraId="2AD6F6CE">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4" w:space="0"/>
                    <w:right w:val="single" w:color="auto" w:sz="8" w:space="0"/>
                  </w:tcBorders>
                  <w:vAlign w:val="center"/>
                </w:tcPr>
                <w:p w14:paraId="13C71554">
                  <w:pPr>
                    <w:spacing w:line="240" w:lineRule="auto"/>
                    <w:jc w:val="center"/>
                    <w:rPr>
                      <w:rFonts w:ascii="宋体" w:hAnsi="宋体" w:eastAsia="宋体"/>
                      <w:sz w:val="18"/>
                      <w:szCs w:val="18"/>
                    </w:rPr>
                  </w:pPr>
                  <w:r>
                    <w:rPr>
                      <w:rFonts w:ascii="宋体" w:hAnsi="宋体" w:eastAsia="宋体"/>
                      <w:sz w:val="18"/>
                      <w:szCs w:val="18"/>
                    </w:rPr>
                    <w:t>X</w:t>
                  </w:r>
                </w:p>
              </w:tc>
            </w:tr>
            <w:tr w14:paraId="78075DE1">
              <w:tblPrEx>
                <w:tblCellMar>
                  <w:top w:w="0" w:type="dxa"/>
                  <w:left w:w="28" w:type="dxa"/>
                  <w:bottom w:w="0" w:type="dxa"/>
                  <w:right w:w="28" w:type="dxa"/>
                </w:tblCellMar>
              </w:tblPrEx>
              <w:trPr>
                <w:trHeight w:val="20" w:hRule="atLeast"/>
              </w:trPr>
              <w:tc>
                <w:tcPr>
                  <w:tcW w:w="616" w:type="dxa"/>
                  <w:vMerge w:val="continue"/>
                  <w:tcBorders>
                    <w:top w:val="single" w:color="auto" w:sz="4" w:space="0"/>
                    <w:left w:val="single" w:color="auto" w:sz="8" w:space="0"/>
                    <w:bottom w:val="single" w:color="auto" w:sz="8" w:space="0"/>
                    <w:right w:val="single" w:color="auto" w:sz="4" w:space="0"/>
                  </w:tcBorders>
                  <w:noWrap/>
                  <w:vAlign w:val="center"/>
                </w:tcPr>
                <w:p w14:paraId="20B84ADA">
                  <w:pPr>
                    <w:spacing w:line="240" w:lineRule="auto"/>
                    <w:jc w:val="center"/>
                    <w:rPr>
                      <w:rFonts w:ascii="宋体" w:hAnsi="宋体" w:eastAsia="宋体"/>
                      <w:sz w:val="18"/>
                      <w:szCs w:val="18"/>
                    </w:rPr>
                  </w:pPr>
                </w:p>
              </w:tc>
              <w:tc>
                <w:tcPr>
                  <w:tcW w:w="1228" w:type="dxa"/>
                  <w:tcBorders>
                    <w:top w:val="single" w:color="auto" w:sz="4" w:space="0"/>
                    <w:left w:val="single" w:color="auto" w:sz="4" w:space="0"/>
                    <w:bottom w:val="single" w:color="auto" w:sz="8" w:space="0"/>
                    <w:right w:val="single" w:color="auto" w:sz="8" w:space="0"/>
                  </w:tcBorders>
                  <w:vAlign w:val="center"/>
                </w:tcPr>
                <w:p w14:paraId="591C4C5C">
                  <w:pPr>
                    <w:kinsoku w:val="0"/>
                    <w:overflowPunct w:val="0"/>
                    <w:autoSpaceDE w:val="0"/>
                    <w:autoSpaceDN w:val="0"/>
                    <w:spacing w:line="240" w:lineRule="auto"/>
                    <w:jc w:val="center"/>
                    <w:rPr>
                      <w:rFonts w:ascii="宋体" w:hAnsi="宋体" w:eastAsia="宋体" w:cs="Arial"/>
                      <w:kern w:val="44"/>
                      <w:sz w:val="18"/>
                      <w:szCs w:val="18"/>
                      <w:u w:val="single"/>
                    </w:rPr>
                  </w:pPr>
                  <w:r>
                    <w:rPr>
                      <w:rFonts w:hint="eastAsia" w:ascii="宋体" w:hAnsi="宋体" w:eastAsia="宋体" w:cs="Arial"/>
                      <w:kern w:val="44"/>
                      <w:sz w:val="18"/>
                      <w:szCs w:val="18"/>
                      <w:bdr w:val="single" w:color="auto" w:sz="4" w:space="0"/>
                    </w:rPr>
                    <w:t>太平柜、焚烧炉、锅炉房</w:t>
                  </w:r>
                </w:p>
              </w:tc>
              <w:tc>
                <w:tcPr>
                  <w:tcW w:w="258" w:type="dxa"/>
                  <w:tcBorders>
                    <w:top w:val="single" w:color="auto" w:sz="4" w:space="0"/>
                    <w:left w:val="single" w:color="auto" w:sz="8" w:space="0"/>
                    <w:bottom w:val="single" w:color="auto" w:sz="8" w:space="0"/>
                    <w:right w:val="single" w:color="auto" w:sz="4" w:space="0"/>
                  </w:tcBorders>
                  <w:vAlign w:val="center"/>
                </w:tcPr>
                <w:p w14:paraId="2DAA43FC">
                  <w:pPr>
                    <w:spacing w:line="240" w:lineRule="auto"/>
                    <w:jc w:val="center"/>
                    <w:rPr>
                      <w:rFonts w:ascii="宋体" w:hAnsi="宋体" w:eastAsia="宋体"/>
                      <w:sz w:val="18"/>
                      <w:szCs w:val="18"/>
                    </w:rPr>
                  </w:pPr>
                  <w:r>
                    <w:rPr>
                      <w:rFonts w:ascii="宋体" w:hAnsi="宋体" w:eastAsia="宋体"/>
                      <w:sz w:val="18"/>
                      <w:szCs w:val="18"/>
                    </w:rPr>
                    <w:t>X</w:t>
                  </w:r>
                </w:p>
              </w:tc>
              <w:tc>
                <w:tcPr>
                  <w:tcW w:w="258" w:type="dxa"/>
                  <w:tcBorders>
                    <w:top w:val="single" w:color="auto" w:sz="4" w:space="0"/>
                    <w:left w:val="single" w:color="auto" w:sz="4" w:space="0"/>
                    <w:bottom w:val="single" w:color="auto" w:sz="8" w:space="0"/>
                    <w:right w:val="single" w:color="auto" w:sz="4" w:space="0"/>
                  </w:tcBorders>
                  <w:vAlign w:val="center"/>
                </w:tcPr>
                <w:p w14:paraId="77FED6DC">
                  <w:pPr>
                    <w:spacing w:line="240" w:lineRule="auto"/>
                    <w:jc w:val="center"/>
                    <w:rPr>
                      <w:rFonts w:ascii="宋体" w:hAnsi="宋体" w:eastAsia="宋体"/>
                      <w:sz w:val="18"/>
                      <w:szCs w:val="18"/>
                    </w:rPr>
                  </w:pPr>
                </w:p>
              </w:tc>
              <w:tc>
                <w:tcPr>
                  <w:tcW w:w="258" w:type="dxa"/>
                  <w:tcBorders>
                    <w:top w:val="single" w:color="auto" w:sz="4" w:space="0"/>
                    <w:left w:val="single" w:color="auto" w:sz="4" w:space="0"/>
                    <w:bottom w:val="single" w:color="auto" w:sz="8" w:space="0"/>
                    <w:right w:val="single" w:color="auto" w:sz="8" w:space="0"/>
                  </w:tcBorders>
                  <w:vAlign w:val="center"/>
                </w:tcPr>
                <w:p w14:paraId="0685BE98">
                  <w:pPr>
                    <w:spacing w:line="240" w:lineRule="auto"/>
                    <w:jc w:val="center"/>
                    <w:rPr>
                      <w:rFonts w:ascii="宋体" w:hAnsi="宋体" w:eastAsia="宋体"/>
                      <w:sz w:val="18"/>
                      <w:szCs w:val="18"/>
                    </w:rPr>
                  </w:pPr>
                </w:p>
              </w:tc>
              <w:tc>
                <w:tcPr>
                  <w:tcW w:w="469" w:type="dxa"/>
                  <w:tcBorders>
                    <w:top w:val="single" w:color="auto" w:sz="4" w:space="0"/>
                    <w:left w:val="single" w:color="auto" w:sz="8" w:space="0"/>
                    <w:bottom w:val="single" w:color="auto" w:sz="8" w:space="0"/>
                    <w:right w:val="single" w:color="auto" w:sz="4" w:space="0"/>
                  </w:tcBorders>
                  <w:vAlign w:val="center"/>
                </w:tcPr>
                <w:p w14:paraId="53ED8CAF">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8" w:space="0"/>
                    <w:right w:val="single" w:color="auto" w:sz="4" w:space="0"/>
                  </w:tcBorders>
                  <w:vAlign w:val="center"/>
                </w:tcPr>
                <w:p w14:paraId="5B3AE9A4">
                  <w:pPr>
                    <w:spacing w:line="240" w:lineRule="auto"/>
                    <w:jc w:val="center"/>
                    <w:rPr>
                      <w:rFonts w:ascii="宋体" w:hAnsi="宋体" w:eastAsia="宋体"/>
                      <w:sz w:val="18"/>
                      <w:szCs w:val="18"/>
                    </w:rPr>
                  </w:pPr>
                </w:p>
              </w:tc>
              <w:tc>
                <w:tcPr>
                  <w:tcW w:w="469" w:type="dxa"/>
                  <w:tcBorders>
                    <w:top w:val="single" w:color="auto" w:sz="4" w:space="0"/>
                    <w:left w:val="single" w:color="auto" w:sz="4" w:space="0"/>
                    <w:bottom w:val="single" w:color="auto" w:sz="8" w:space="0"/>
                    <w:right w:val="single" w:color="auto" w:sz="8" w:space="0"/>
                  </w:tcBorders>
                  <w:vAlign w:val="center"/>
                </w:tcPr>
                <w:p w14:paraId="7E223122">
                  <w:pPr>
                    <w:spacing w:line="240" w:lineRule="auto"/>
                    <w:jc w:val="center"/>
                    <w:rPr>
                      <w:rFonts w:ascii="宋体" w:hAnsi="宋体" w:eastAsia="宋体"/>
                      <w:sz w:val="18"/>
                      <w:szCs w:val="18"/>
                    </w:rPr>
                  </w:pPr>
                  <w:r>
                    <w:rPr>
                      <w:rFonts w:ascii="宋体" w:hAnsi="宋体" w:eastAsia="宋体"/>
                      <w:sz w:val="18"/>
                      <w:szCs w:val="18"/>
                    </w:rPr>
                    <w:t>X</w:t>
                  </w:r>
                  <w:r>
                    <w:rPr>
                      <w:rFonts w:ascii="宋体" w:hAnsi="宋体" w:eastAsia="宋体"/>
                      <w:sz w:val="18"/>
                      <w:szCs w:val="18"/>
                      <w:bdr w:val="single" w:color="auto" w:sz="4" w:space="0"/>
                    </w:rPr>
                    <w:t>c</w:t>
                  </w:r>
                </w:p>
              </w:tc>
            </w:tr>
          </w:tbl>
          <w:p w14:paraId="4EA51021">
            <w:pPr>
              <w:spacing w:line="240" w:lineRule="auto"/>
              <w:ind w:firstLine="360" w:firstLineChars="200"/>
              <w:rPr>
                <w:rFonts w:ascii="宋体" w:hAnsi="宋体" w:eastAsia="宋体"/>
                <w:sz w:val="18"/>
                <w:szCs w:val="18"/>
              </w:rPr>
            </w:pPr>
            <w:r>
              <w:rPr>
                <w:rFonts w:hint="eastAsia" w:ascii="宋体" w:hAnsi="宋体" w:eastAsia="宋体"/>
                <w:sz w:val="18"/>
                <w:szCs w:val="18"/>
              </w:rPr>
              <w:t>注：</w:t>
            </w:r>
            <w:r>
              <w:rPr>
                <w:rFonts w:ascii="宋体" w:hAnsi="宋体" w:eastAsia="宋体"/>
                <w:sz w:val="18"/>
                <w:szCs w:val="18"/>
              </w:rPr>
              <w:t>a</w:t>
            </w:r>
            <w:r>
              <w:rPr>
                <w:rFonts w:hint="eastAsia" w:ascii="宋体" w:hAnsi="宋体" w:eastAsia="宋体"/>
                <w:sz w:val="18"/>
                <w:szCs w:val="18"/>
              </w:rPr>
              <w:t>为</w:t>
            </w:r>
            <w:r>
              <w:rPr>
                <w:rFonts w:ascii="宋体" w:hAnsi="宋体" w:eastAsia="宋体"/>
                <w:sz w:val="18"/>
                <w:szCs w:val="18"/>
              </w:rPr>
              <w:t>照明及生命支持电气设备；</w:t>
            </w:r>
          </w:p>
          <w:p w14:paraId="3DC8C7CA">
            <w:pPr>
              <w:spacing w:line="240" w:lineRule="auto"/>
              <w:ind w:firstLine="360" w:firstLineChars="200"/>
              <w:rPr>
                <w:rFonts w:ascii="宋体" w:hAnsi="宋体" w:eastAsia="宋体"/>
                <w:sz w:val="18"/>
                <w:szCs w:val="18"/>
              </w:rPr>
            </w:pPr>
            <w:r>
              <w:rPr>
                <w:rFonts w:ascii="宋体" w:hAnsi="宋体" w:eastAsia="宋体"/>
                <w:sz w:val="18"/>
                <w:szCs w:val="18"/>
              </w:rPr>
              <w:t>b</w:t>
            </w:r>
            <w:r>
              <w:rPr>
                <w:rFonts w:hint="eastAsia" w:ascii="宋体" w:hAnsi="宋体" w:eastAsia="宋体"/>
                <w:sz w:val="18"/>
                <w:szCs w:val="18"/>
              </w:rPr>
              <w:t>为</w:t>
            </w:r>
            <w:r>
              <w:rPr>
                <w:rFonts w:ascii="宋体" w:hAnsi="宋体" w:eastAsia="宋体"/>
                <w:sz w:val="18"/>
                <w:szCs w:val="18"/>
              </w:rPr>
              <w:t>不作为手术室；</w:t>
            </w:r>
          </w:p>
          <w:p w14:paraId="3F15201C">
            <w:pPr>
              <w:spacing w:line="240" w:lineRule="auto"/>
              <w:ind w:firstLine="360" w:firstLineChars="200"/>
            </w:pPr>
            <w:r>
              <w:rPr>
                <w:rFonts w:ascii="宋体" w:hAnsi="宋体" w:eastAsia="宋体"/>
                <w:sz w:val="18"/>
                <w:szCs w:val="18"/>
                <w:bdr w:val="single" w:color="auto" w:sz="4" w:space="0"/>
              </w:rPr>
              <w:t>c</w:t>
            </w:r>
            <w:r>
              <w:rPr>
                <w:rFonts w:hint="eastAsia" w:ascii="宋体" w:hAnsi="宋体" w:eastAsia="宋体"/>
                <w:sz w:val="18"/>
                <w:szCs w:val="18"/>
                <w:bdr w:val="single" w:color="auto" w:sz="4" w:space="0"/>
              </w:rPr>
              <w:t>为需持续3h～24h提供电力。</w:t>
            </w:r>
          </w:p>
        </w:tc>
        <w:tc>
          <w:tcPr>
            <w:tcW w:w="4261" w:type="dxa"/>
            <w:shd w:val="clear" w:color="auto" w:fill="auto"/>
          </w:tcPr>
          <w:p w14:paraId="287DAD5D">
            <w:pPr>
              <w:rPr>
                <w:rFonts w:ascii="宋体" w:hAnsi="宋体" w:eastAsia="宋体"/>
              </w:rPr>
            </w:pPr>
            <w:r>
              <w:rPr>
                <w:rFonts w:ascii="宋体" w:hAnsi="宋体" w:eastAsia="宋体"/>
              </w:rPr>
              <w:t>8.1.2 医疗场所分类及</w:t>
            </w:r>
            <w:r>
              <w:rPr>
                <w:rFonts w:hint="eastAsia" w:asciiTheme="minorEastAsia" w:hAnsiTheme="minorEastAsia"/>
                <w:u w:val="single"/>
              </w:rPr>
              <w:t>、安全设施供电系统分级和负荷分级</w:t>
            </w:r>
            <w:r>
              <w:rPr>
                <w:rFonts w:ascii="宋体" w:hAnsi="宋体" w:eastAsia="宋体"/>
              </w:rPr>
              <w:t>宜符合表8.1.2规定。</w:t>
            </w:r>
          </w:p>
          <w:p w14:paraId="78707E6E">
            <w:pPr>
              <w:jc w:val="center"/>
              <w:rPr>
                <w:rFonts w:ascii="宋体" w:hAnsi="宋体" w:eastAsia="宋体"/>
                <w:b/>
                <w:bCs/>
                <w:kern w:val="18"/>
                <w:sz w:val="18"/>
                <w:szCs w:val="18"/>
              </w:rPr>
            </w:pPr>
            <w:r>
              <w:rPr>
                <w:rFonts w:ascii="宋体" w:hAnsi="宋体" w:eastAsia="宋体"/>
                <w:b/>
                <w:bCs/>
                <w:sz w:val="18"/>
                <w:szCs w:val="18"/>
              </w:rPr>
              <w:t>表8.1.2 医</w:t>
            </w:r>
            <w:r>
              <w:rPr>
                <w:rFonts w:ascii="宋体" w:hAnsi="宋体" w:eastAsia="宋体"/>
                <w:b/>
                <w:bCs/>
                <w:kern w:val="18"/>
                <w:sz w:val="18"/>
                <w:szCs w:val="18"/>
              </w:rPr>
              <w:t>疗场所</w:t>
            </w:r>
            <w:r>
              <w:rPr>
                <w:rFonts w:hint="eastAsia" w:ascii="宋体" w:hAnsi="宋体" w:eastAsia="宋体"/>
                <w:b/>
                <w:bCs/>
                <w:kern w:val="18"/>
                <w:sz w:val="18"/>
                <w:szCs w:val="18"/>
              </w:rPr>
              <w:t>及设施的</w:t>
            </w:r>
            <w:r>
              <w:rPr>
                <w:rFonts w:hint="eastAsia" w:ascii="宋体" w:hAnsi="宋体" w:eastAsia="宋体"/>
                <w:b/>
                <w:bCs/>
                <w:iCs/>
                <w:sz w:val="18"/>
                <w:szCs w:val="18"/>
              </w:rPr>
              <w:t>类别划分</w:t>
            </w:r>
            <w:r>
              <w:rPr>
                <w:rFonts w:ascii="宋体" w:hAnsi="宋体" w:eastAsia="宋体"/>
                <w:b/>
                <w:bCs/>
                <w:iCs/>
                <w:sz w:val="18"/>
                <w:szCs w:val="18"/>
              </w:rPr>
              <w:t>及</w:t>
            </w:r>
            <w:r>
              <w:rPr>
                <w:rFonts w:hint="eastAsia" w:ascii="宋体" w:hAnsi="宋体" w:eastAsia="宋体"/>
                <w:b/>
                <w:bCs/>
                <w:iCs/>
                <w:sz w:val="18"/>
                <w:szCs w:val="18"/>
                <w:u w:val="single"/>
              </w:rPr>
              <w:t>安全设施供电系统分级、负荷分级</w:t>
            </w:r>
          </w:p>
          <w:tbl>
            <w:tblPr>
              <w:tblStyle w:val="19"/>
              <w:tblW w:w="0" w:type="auto"/>
              <w:tblInd w:w="0" w:type="dxa"/>
              <w:tblLayout w:type="fixed"/>
              <w:tblCellMar>
                <w:top w:w="0" w:type="dxa"/>
                <w:left w:w="28" w:type="dxa"/>
                <w:bottom w:w="0" w:type="dxa"/>
                <w:right w:w="28" w:type="dxa"/>
              </w:tblCellMar>
            </w:tblPr>
            <w:tblGrid>
              <w:gridCol w:w="286"/>
              <w:gridCol w:w="1260"/>
              <w:gridCol w:w="240"/>
              <w:gridCol w:w="240"/>
              <w:gridCol w:w="240"/>
              <w:gridCol w:w="321"/>
              <w:gridCol w:w="322"/>
              <w:gridCol w:w="322"/>
              <w:gridCol w:w="264"/>
              <w:gridCol w:w="265"/>
              <w:gridCol w:w="265"/>
            </w:tblGrid>
            <w:tr w14:paraId="4E90CE01">
              <w:trPr>
                <w:cantSplit/>
                <w:trHeight w:val="20" w:hRule="atLeast"/>
              </w:trPr>
              <w:tc>
                <w:tcPr>
                  <w:tcW w:w="286" w:type="dxa"/>
                  <w:vMerge w:val="restart"/>
                  <w:tcBorders>
                    <w:top w:val="single" w:color="auto" w:sz="8" w:space="0"/>
                    <w:left w:val="single" w:color="auto" w:sz="8" w:space="0"/>
                    <w:bottom w:val="single" w:color="auto" w:sz="4" w:space="0"/>
                    <w:right w:val="single" w:color="auto" w:sz="4" w:space="0"/>
                  </w:tcBorders>
                  <w:vAlign w:val="center"/>
                </w:tcPr>
                <w:p w14:paraId="24D9AA20">
                  <w:pPr>
                    <w:spacing w:line="240" w:lineRule="auto"/>
                    <w:jc w:val="center"/>
                    <w:rPr>
                      <w:rFonts w:ascii="宋体" w:hAnsi="宋体" w:eastAsia="宋体"/>
                      <w:sz w:val="18"/>
                      <w:szCs w:val="18"/>
                    </w:rPr>
                  </w:pPr>
                  <w:r>
                    <w:rPr>
                      <w:rFonts w:ascii="宋体" w:hAnsi="宋体" w:eastAsia="宋体"/>
                      <w:sz w:val="18"/>
                      <w:szCs w:val="18"/>
                    </w:rPr>
                    <w:t>部门</w:t>
                  </w:r>
                </w:p>
              </w:tc>
              <w:tc>
                <w:tcPr>
                  <w:tcW w:w="1260" w:type="dxa"/>
                  <w:vMerge w:val="restart"/>
                  <w:tcBorders>
                    <w:top w:val="single" w:color="auto" w:sz="8" w:space="0"/>
                    <w:left w:val="single" w:color="auto" w:sz="4" w:space="0"/>
                    <w:bottom w:val="single" w:color="auto" w:sz="4" w:space="0"/>
                    <w:right w:val="single" w:color="auto" w:sz="8" w:space="0"/>
                  </w:tcBorders>
                  <w:vAlign w:val="center"/>
                </w:tcPr>
                <w:p w14:paraId="4D6045E5">
                  <w:pPr>
                    <w:spacing w:line="240" w:lineRule="auto"/>
                    <w:jc w:val="center"/>
                    <w:rPr>
                      <w:rFonts w:ascii="宋体" w:hAnsi="宋体" w:eastAsia="宋体"/>
                      <w:sz w:val="18"/>
                      <w:szCs w:val="18"/>
                    </w:rPr>
                  </w:pPr>
                  <w:r>
                    <w:rPr>
                      <w:rFonts w:ascii="宋体" w:hAnsi="宋体" w:eastAsia="宋体"/>
                      <w:sz w:val="18"/>
                      <w:szCs w:val="18"/>
                    </w:rPr>
                    <w:t>医疗场所以及设备</w:t>
                  </w:r>
                </w:p>
              </w:tc>
              <w:tc>
                <w:tcPr>
                  <w:tcW w:w="720" w:type="dxa"/>
                  <w:gridSpan w:val="3"/>
                  <w:tcBorders>
                    <w:top w:val="single" w:color="auto" w:sz="8" w:space="0"/>
                    <w:left w:val="single" w:color="auto" w:sz="8" w:space="0"/>
                    <w:bottom w:val="single" w:color="auto" w:sz="4" w:space="0"/>
                    <w:right w:val="single" w:color="auto" w:sz="8" w:space="0"/>
                  </w:tcBorders>
                  <w:vAlign w:val="center"/>
                </w:tcPr>
                <w:p w14:paraId="01664BD8">
                  <w:pPr>
                    <w:spacing w:line="240" w:lineRule="auto"/>
                    <w:jc w:val="center"/>
                    <w:rPr>
                      <w:rFonts w:ascii="宋体" w:hAnsi="宋体" w:eastAsia="宋体"/>
                      <w:sz w:val="18"/>
                      <w:szCs w:val="18"/>
                    </w:rPr>
                  </w:pPr>
                  <w:r>
                    <w:rPr>
                      <w:rFonts w:ascii="宋体" w:hAnsi="宋体" w:eastAsia="宋体"/>
                      <w:sz w:val="18"/>
                      <w:szCs w:val="18"/>
                    </w:rPr>
                    <w:t>场所类别</w:t>
                  </w:r>
                </w:p>
              </w:tc>
              <w:tc>
                <w:tcPr>
                  <w:tcW w:w="965" w:type="dxa"/>
                  <w:gridSpan w:val="3"/>
                  <w:tcBorders>
                    <w:top w:val="single" w:color="auto" w:sz="8" w:space="0"/>
                    <w:left w:val="single" w:color="auto" w:sz="8" w:space="0"/>
                    <w:bottom w:val="single" w:color="auto" w:sz="4" w:space="0"/>
                    <w:right w:val="single" w:color="auto" w:sz="8" w:space="0"/>
                  </w:tcBorders>
                  <w:vAlign w:val="center"/>
                </w:tcPr>
                <w:p w14:paraId="4C78554A">
                  <w:pPr>
                    <w:spacing w:line="240" w:lineRule="auto"/>
                    <w:jc w:val="center"/>
                    <w:rPr>
                      <w:rFonts w:ascii="宋体" w:hAnsi="宋体" w:eastAsia="宋体"/>
                      <w:sz w:val="18"/>
                      <w:szCs w:val="18"/>
                      <w:u w:val="single"/>
                    </w:rPr>
                  </w:pPr>
                  <w:r>
                    <w:rPr>
                      <w:rFonts w:hint="eastAsia" w:ascii="宋体" w:hAnsi="宋体" w:eastAsia="宋体"/>
                      <w:sz w:val="18"/>
                      <w:szCs w:val="18"/>
                      <w:u w:val="single"/>
                    </w:rPr>
                    <w:t>安全设施供电系统分级</w:t>
                  </w:r>
                </w:p>
              </w:tc>
              <w:tc>
                <w:tcPr>
                  <w:tcW w:w="794" w:type="dxa"/>
                  <w:gridSpan w:val="3"/>
                  <w:tcBorders>
                    <w:top w:val="single" w:color="auto" w:sz="8" w:space="0"/>
                    <w:left w:val="single" w:color="auto" w:sz="8" w:space="0"/>
                    <w:bottom w:val="single" w:color="auto" w:sz="4" w:space="0"/>
                    <w:right w:val="single" w:color="auto" w:sz="8" w:space="0"/>
                  </w:tcBorders>
                  <w:vAlign w:val="center"/>
                </w:tcPr>
                <w:p w14:paraId="3F6CDE16">
                  <w:pPr>
                    <w:spacing w:line="240" w:lineRule="auto"/>
                    <w:jc w:val="center"/>
                    <w:rPr>
                      <w:rFonts w:ascii="宋体" w:hAnsi="宋体" w:eastAsia="宋体"/>
                      <w:sz w:val="18"/>
                      <w:szCs w:val="18"/>
                      <w:bdr w:val="single" w:color="auto" w:sz="4" w:space="0"/>
                    </w:rPr>
                  </w:pPr>
                  <w:r>
                    <w:rPr>
                      <w:rFonts w:hint="eastAsia" w:ascii="宋体" w:hAnsi="宋体" w:eastAsia="宋体"/>
                      <w:sz w:val="18"/>
                      <w:szCs w:val="18"/>
                      <w:u w:val="single"/>
                    </w:rPr>
                    <w:t>负荷分级</w:t>
                  </w:r>
                </w:p>
              </w:tc>
            </w:tr>
            <w:tr w14:paraId="77D2C140">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8" w:space="0"/>
                    <w:right w:val="single" w:color="auto" w:sz="4" w:space="0"/>
                  </w:tcBorders>
                  <w:vAlign w:val="center"/>
                </w:tcPr>
                <w:p w14:paraId="243BD84D">
                  <w:pPr>
                    <w:spacing w:line="240" w:lineRule="auto"/>
                    <w:jc w:val="center"/>
                    <w:rPr>
                      <w:rFonts w:ascii="宋体" w:hAnsi="宋体" w:eastAsia="宋体"/>
                      <w:sz w:val="18"/>
                      <w:szCs w:val="18"/>
                    </w:rPr>
                  </w:pPr>
                </w:p>
              </w:tc>
              <w:tc>
                <w:tcPr>
                  <w:tcW w:w="1260" w:type="dxa"/>
                  <w:vMerge w:val="continue"/>
                  <w:tcBorders>
                    <w:top w:val="single" w:color="auto" w:sz="4" w:space="0"/>
                    <w:left w:val="single" w:color="auto" w:sz="4" w:space="0"/>
                    <w:bottom w:val="single" w:color="auto" w:sz="8" w:space="0"/>
                    <w:right w:val="single" w:color="auto" w:sz="8" w:space="0"/>
                  </w:tcBorders>
                  <w:vAlign w:val="center"/>
                </w:tcPr>
                <w:p w14:paraId="26E5D6F1">
                  <w:pPr>
                    <w:spacing w:line="240" w:lineRule="auto"/>
                    <w:jc w:val="center"/>
                    <w:rPr>
                      <w:rFonts w:ascii="宋体" w:hAnsi="宋体" w:eastAsia="宋体"/>
                      <w:sz w:val="18"/>
                      <w:szCs w:val="18"/>
                    </w:rPr>
                  </w:pPr>
                </w:p>
              </w:tc>
              <w:tc>
                <w:tcPr>
                  <w:tcW w:w="240" w:type="dxa"/>
                  <w:tcBorders>
                    <w:top w:val="single" w:color="auto" w:sz="4" w:space="0"/>
                    <w:left w:val="single" w:color="auto" w:sz="8" w:space="0"/>
                    <w:bottom w:val="single" w:color="auto" w:sz="8" w:space="0"/>
                    <w:right w:val="single" w:color="auto" w:sz="4" w:space="0"/>
                  </w:tcBorders>
                  <w:vAlign w:val="center"/>
                </w:tcPr>
                <w:p w14:paraId="5A73B4A4">
                  <w:pPr>
                    <w:spacing w:line="240" w:lineRule="auto"/>
                    <w:jc w:val="center"/>
                    <w:rPr>
                      <w:rFonts w:ascii="宋体" w:hAnsi="宋体" w:eastAsia="宋体"/>
                      <w:sz w:val="18"/>
                      <w:szCs w:val="18"/>
                    </w:rPr>
                  </w:pPr>
                  <w:r>
                    <w:rPr>
                      <w:rFonts w:ascii="宋体" w:hAnsi="宋体" w:eastAsia="宋体"/>
                      <w:sz w:val="18"/>
                      <w:szCs w:val="18"/>
                    </w:rPr>
                    <w:t>0</w:t>
                  </w:r>
                </w:p>
              </w:tc>
              <w:tc>
                <w:tcPr>
                  <w:tcW w:w="240" w:type="dxa"/>
                  <w:tcBorders>
                    <w:top w:val="single" w:color="auto" w:sz="4" w:space="0"/>
                    <w:left w:val="single" w:color="auto" w:sz="4" w:space="0"/>
                    <w:bottom w:val="single" w:color="auto" w:sz="8" w:space="0"/>
                    <w:right w:val="single" w:color="auto" w:sz="4" w:space="0"/>
                  </w:tcBorders>
                  <w:vAlign w:val="center"/>
                </w:tcPr>
                <w:p w14:paraId="23E5D04C">
                  <w:pPr>
                    <w:spacing w:line="240" w:lineRule="auto"/>
                    <w:jc w:val="center"/>
                    <w:rPr>
                      <w:rFonts w:ascii="宋体" w:hAnsi="宋体" w:eastAsia="宋体"/>
                      <w:sz w:val="18"/>
                      <w:szCs w:val="18"/>
                    </w:rPr>
                  </w:pPr>
                  <w:r>
                    <w:rPr>
                      <w:rFonts w:ascii="宋体" w:hAnsi="宋体" w:eastAsia="宋体"/>
                      <w:sz w:val="18"/>
                      <w:szCs w:val="18"/>
                    </w:rPr>
                    <w:t>1</w:t>
                  </w:r>
                </w:p>
              </w:tc>
              <w:tc>
                <w:tcPr>
                  <w:tcW w:w="240" w:type="dxa"/>
                  <w:tcBorders>
                    <w:top w:val="single" w:color="auto" w:sz="4" w:space="0"/>
                    <w:left w:val="single" w:color="auto" w:sz="4" w:space="0"/>
                    <w:bottom w:val="single" w:color="auto" w:sz="8" w:space="0"/>
                    <w:right w:val="single" w:color="auto" w:sz="8" w:space="0"/>
                  </w:tcBorders>
                  <w:vAlign w:val="center"/>
                </w:tcPr>
                <w:p w14:paraId="4274A97C">
                  <w:pPr>
                    <w:spacing w:line="240" w:lineRule="auto"/>
                    <w:jc w:val="center"/>
                    <w:rPr>
                      <w:rFonts w:ascii="宋体" w:hAnsi="宋体" w:eastAsia="宋体"/>
                      <w:sz w:val="18"/>
                      <w:szCs w:val="18"/>
                    </w:rPr>
                  </w:pPr>
                  <w:r>
                    <w:rPr>
                      <w:rFonts w:ascii="宋体" w:hAnsi="宋体" w:eastAsia="宋体"/>
                      <w:sz w:val="18"/>
                      <w:szCs w:val="18"/>
                    </w:rPr>
                    <w:t>2</w:t>
                  </w:r>
                </w:p>
              </w:tc>
              <w:tc>
                <w:tcPr>
                  <w:tcW w:w="321" w:type="dxa"/>
                  <w:tcBorders>
                    <w:top w:val="single" w:color="auto" w:sz="4" w:space="0"/>
                    <w:left w:val="single" w:color="auto" w:sz="8" w:space="0"/>
                    <w:bottom w:val="single" w:color="auto" w:sz="8" w:space="0"/>
                    <w:right w:val="single" w:color="auto" w:sz="4" w:space="0"/>
                  </w:tcBorders>
                  <w:vAlign w:val="center"/>
                </w:tcPr>
                <w:p w14:paraId="02FE37A7">
                  <w:pPr>
                    <w:spacing w:line="240" w:lineRule="auto"/>
                    <w:jc w:val="center"/>
                    <w:rPr>
                      <w:rFonts w:ascii="宋体" w:hAnsi="宋体" w:eastAsia="宋体"/>
                      <w:sz w:val="18"/>
                      <w:szCs w:val="18"/>
                      <w:u w:val="single"/>
                    </w:rPr>
                  </w:pPr>
                  <w:r>
                    <w:rPr>
                      <w:rFonts w:ascii="宋体" w:hAnsi="宋体" w:eastAsia="宋体"/>
                      <w:sz w:val="18"/>
                      <w:szCs w:val="18"/>
                      <w:u w:val="single"/>
                    </w:rPr>
                    <w:t>C</w:t>
                  </w:r>
                  <w:r>
                    <w:rPr>
                      <w:rFonts w:hint="eastAsia" w:ascii="宋体" w:hAnsi="宋体" w:eastAsia="宋体"/>
                      <w:sz w:val="18"/>
                      <w:szCs w:val="18"/>
                      <w:u w:val="single"/>
                    </w:rPr>
                    <w:t>级</w:t>
                  </w:r>
                </w:p>
              </w:tc>
              <w:tc>
                <w:tcPr>
                  <w:tcW w:w="322" w:type="dxa"/>
                  <w:tcBorders>
                    <w:top w:val="single" w:color="auto" w:sz="4" w:space="0"/>
                    <w:left w:val="single" w:color="auto" w:sz="4" w:space="0"/>
                    <w:bottom w:val="single" w:color="auto" w:sz="8" w:space="0"/>
                    <w:right w:val="single" w:color="auto" w:sz="4" w:space="0"/>
                  </w:tcBorders>
                  <w:vAlign w:val="center"/>
                </w:tcPr>
                <w:p w14:paraId="22A57D79">
                  <w:pPr>
                    <w:spacing w:line="240" w:lineRule="auto"/>
                    <w:jc w:val="center"/>
                    <w:rPr>
                      <w:rFonts w:ascii="宋体" w:hAnsi="宋体" w:eastAsia="宋体"/>
                      <w:sz w:val="18"/>
                      <w:szCs w:val="18"/>
                      <w:u w:val="single"/>
                    </w:rPr>
                  </w:pPr>
                  <w:r>
                    <w:rPr>
                      <w:rFonts w:ascii="宋体" w:hAnsi="宋体" w:eastAsia="宋体"/>
                      <w:sz w:val="18"/>
                      <w:szCs w:val="18"/>
                      <w:u w:val="single"/>
                    </w:rPr>
                    <w:t>E</w:t>
                  </w:r>
                  <w:r>
                    <w:rPr>
                      <w:rFonts w:hint="eastAsia" w:ascii="宋体" w:hAnsi="宋体" w:eastAsia="宋体"/>
                      <w:sz w:val="18"/>
                      <w:szCs w:val="18"/>
                      <w:u w:val="single"/>
                    </w:rPr>
                    <w:t>级</w:t>
                  </w:r>
                </w:p>
              </w:tc>
              <w:tc>
                <w:tcPr>
                  <w:tcW w:w="322" w:type="dxa"/>
                  <w:tcBorders>
                    <w:top w:val="single" w:color="auto" w:sz="4" w:space="0"/>
                    <w:left w:val="single" w:color="auto" w:sz="4" w:space="0"/>
                    <w:bottom w:val="single" w:color="auto" w:sz="8" w:space="0"/>
                    <w:right w:val="single" w:color="auto" w:sz="8" w:space="0"/>
                  </w:tcBorders>
                  <w:vAlign w:val="center"/>
                </w:tcPr>
                <w:p w14:paraId="2D71B6A3">
                  <w:pPr>
                    <w:spacing w:line="240" w:lineRule="auto"/>
                    <w:jc w:val="center"/>
                    <w:rPr>
                      <w:rFonts w:ascii="宋体" w:hAnsi="宋体" w:eastAsia="宋体"/>
                      <w:sz w:val="18"/>
                      <w:szCs w:val="18"/>
                      <w:u w:val="single"/>
                    </w:rPr>
                  </w:pPr>
                  <w:r>
                    <w:rPr>
                      <w:rFonts w:ascii="宋体" w:hAnsi="宋体" w:eastAsia="宋体"/>
                      <w:sz w:val="18"/>
                      <w:szCs w:val="18"/>
                      <w:u w:val="single"/>
                    </w:rPr>
                    <w:t>F</w:t>
                  </w:r>
                  <w:r>
                    <w:rPr>
                      <w:rFonts w:hint="eastAsia" w:ascii="宋体" w:hAnsi="宋体" w:eastAsia="宋体"/>
                      <w:sz w:val="18"/>
                      <w:szCs w:val="18"/>
                      <w:u w:val="single"/>
                    </w:rPr>
                    <w:t>级</w:t>
                  </w:r>
                </w:p>
              </w:tc>
              <w:tc>
                <w:tcPr>
                  <w:tcW w:w="264" w:type="dxa"/>
                  <w:tcBorders>
                    <w:top w:val="single" w:color="auto" w:sz="4" w:space="0"/>
                    <w:left w:val="single" w:color="auto" w:sz="8" w:space="0"/>
                    <w:bottom w:val="single" w:color="auto" w:sz="8" w:space="0"/>
                    <w:right w:val="single" w:color="auto" w:sz="4" w:space="0"/>
                  </w:tcBorders>
                  <w:vAlign w:val="center"/>
                </w:tcPr>
                <w:p w14:paraId="7E78462E">
                  <w:pPr>
                    <w:spacing w:line="240" w:lineRule="auto"/>
                    <w:jc w:val="center"/>
                    <w:rPr>
                      <w:rFonts w:ascii="宋体" w:hAnsi="宋体" w:eastAsia="宋体"/>
                      <w:sz w:val="18"/>
                      <w:szCs w:val="18"/>
                      <w:u w:val="single"/>
                    </w:rPr>
                  </w:pPr>
                  <w:r>
                    <w:rPr>
                      <w:rFonts w:hint="eastAsia" w:ascii="宋体" w:hAnsi="宋体" w:eastAsia="宋体"/>
                      <w:sz w:val="18"/>
                      <w:szCs w:val="18"/>
                      <w:u w:val="single"/>
                    </w:rPr>
                    <w:t>特级</w:t>
                  </w:r>
                </w:p>
                <w:p w14:paraId="6729510A">
                  <w:pPr>
                    <w:spacing w:line="240" w:lineRule="auto"/>
                    <w:jc w:val="center"/>
                    <w:rPr>
                      <w:rFonts w:ascii="宋体" w:hAnsi="宋体" w:eastAsia="宋体"/>
                      <w:sz w:val="18"/>
                      <w:szCs w:val="18"/>
                      <w:u w:val="single"/>
                    </w:rPr>
                  </w:pPr>
                  <w:r>
                    <w:rPr>
                      <w:rFonts w:hint="eastAsia" w:ascii="宋体" w:hAnsi="宋体" w:eastAsia="宋体"/>
                      <w:sz w:val="18"/>
                      <w:szCs w:val="18"/>
                      <w:u w:val="single"/>
                    </w:rPr>
                    <w:t>负荷</w:t>
                  </w:r>
                </w:p>
              </w:tc>
              <w:tc>
                <w:tcPr>
                  <w:tcW w:w="265" w:type="dxa"/>
                  <w:tcBorders>
                    <w:top w:val="single" w:color="auto" w:sz="4" w:space="0"/>
                    <w:left w:val="single" w:color="auto" w:sz="4" w:space="0"/>
                    <w:bottom w:val="single" w:color="auto" w:sz="8" w:space="0"/>
                    <w:right w:val="single" w:color="auto" w:sz="4" w:space="0"/>
                  </w:tcBorders>
                  <w:vAlign w:val="center"/>
                </w:tcPr>
                <w:p w14:paraId="3716D010">
                  <w:pPr>
                    <w:spacing w:line="240" w:lineRule="auto"/>
                    <w:jc w:val="center"/>
                    <w:rPr>
                      <w:rFonts w:ascii="宋体" w:hAnsi="宋体" w:eastAsia="宋体"/>
                      <w:sz w:val="18"/>
                      <w:szCs w:val="18"/>
                      <w:u w:val="single"/>
                    </w:rPr>
                  </w:pPr>
                  <w:r>
                    <w:rPr>
                      <w:rFonts w:hint="eastAsia" w:ascii="宋体" w:hAnsi="宋体" w:eastAsia="宋体"/>
                      <w:sz w:val="18"/>
                      <w:szCs w:val="18"/>
                      <w:u w:val="single"/>
                    </w:rPr>
                    <w:t>一级</w:t>
                  </w:r>
                </w:p>
                <w:p w14:paraId="0138D114">
                  <w:pPr>
                    <w:spacing w:line="240" w:lineRule="auto"/>
                    <w:jc w:val="center"/>
                    <w:rPr>
                      <w:rFonts w:ascii="宋体" w:hAnsi="宋体" w:eastAsia="宋体"/>
                      <w:sz w:val="18"/>
                      <w:szCs w:val="18"/>
                      <w:bdr w:val="single" w:color="auto" w:sz="4" w:space="0"/>
                    </w:rPr>
                  </w:pPr>
                  <w:r>
                    <w:rPr>
                      <w:rFonts w:hint="eastAsia" w:ascii="宋体" w:hAnsi="宋体" w:eastAsia="宋体"/>
                      <w:sz w:val="18"/>
                      <w:szCs w:val="18"/>
                      <w:u w:val="single"/>
                    </w:rPr>
                    <w:t>负荷</w:t>
                  </w:r>
                </w:p>
              </w:tc>
              <w:tc>
                <w:tcPr>
                  <w:tcW w:w="265" w:type="dxa"/>
                  <w:tcBorders>
                    <w:top w:val="single" w:color="auto" w:sz="4" w:space="0"/>
                    <w:left w:val="single" w:color="auto" w:sz="4" w:space="0"/>
                    <w:bottom w:val="single" w:color="auto" w:sz="8" w:space="0"/>
                    <w:right w:val="single" w:color="auto" w:sz="8" w:space="0"/>
                  </w:tcBorders>
                  <w:vAlign w:val="center"/>
                </w:tcPr>
                <w:p w14:paraId="7BB9A8E1">
                  <w:pPr>
                    <w:spacing w:line="240" w:lineRule="auto"/>
                    <w:jc w:val="center"/>
                    <w:rPr>
                      <w:rFonts w:ascii="宋体" w:hAnsi="宋体" w:eastAsia="宋体"/>
                      <w:sz w:val="18"/>
                      <w:szCs w:val="18"/>
                      <w:u w:val="single"/>
                    </w:rPr>
                  </w:pPr>
                  <w:r>
                    <w:rPr>
                      <w:rFonts w:hint="eastAsia" w:ascii="宋体" w:hAnsi="宋体" w:eastAsia="宋体"/>
                      <w:sz w:val="18"/>
                      <w:szCs w:val="18"/>
                      <w:u w:val="single"/>
                    </w:rPr>
                    <w:t>二级</w:t>
                  </w:r>
                </w:p>
                <w:p w14:paraId="1C90BDEC">
                  <w:pPr>
                    <w:spacing w:line="240" w:lineRule="auto"/>
                    <w:jc w:val="center"/>
                    <w:rPr>
                      <w:rFonts w:ascii="宋体" w:hAnsi="宋体" w:eastAsia="宋体"/>
                      <w:sz w:val="18"/>
                      <w:szCs w:val="18"/>
                      <w:u w:val="single"/>
                    </w:rPr>
                  </w:pPr>
                  <w:r>
                    <w:rPr>
                      <w:rFonts w:hint="eastAsia" w:ascii="宋体" w:hAnsi="宋体" w:eastAsia="宋体"/>
                      <w:sz w:val="18"/>
                      <w:szCs w:val="18"/>
                      <w:u w:val="single"/>
                    </w:rPr>
                    <w:t>负荷</w:t>
                  </w:r>
                </w:p>
              </w:tc>
            </w:tr>
            <w:tr w14:paraId="131E88BD">
              <w:tblPrEx>
                <w:tblCellMar>
                  <w:top w:w="0" w:type="dxa"/>
                  <w:left w:w="28" w:type="dxa"/>
                  <w:bottom w:w="0" w:type="dxa"/>
                  <w:right w:w="28" w:type="dxa"/>
                </w:tblCellMar>
              </w:tblPrEx>
              <w:trPr>
                <w:cantSplit/>
                <w:trHeight w:val="20" w:hRule="atLeast"/>
              </w:trPr>
              <w:tc>
                <w:tcPr>
                  <w:tcW w:w="286" w:type="dxa"/>
                  <w:vMerge w:val="restart"/>
                  <w:tcBorders>
                    <w:top w:val="single" w:color="auto" w:sz="8" w:space="0"/>
                    <w:left w:val="single" w:color="auto" w:sz="8" w:space="0"/>
                    <w:bottom w:val="single" w:color="auto" w:sz="4" w:space="0"/>
                    <w:right w:val="single" w:color="auto" w:sz="4" w:space="0"/>
                  </w:tcBorders>
                  <w:noWrap/>
                  <w:vAlign w:val="center"/>
                </w:tcPr>
                <w:p w14:paraId="6B4CAF21">
                  <w:pPr>
                    <w:spacing w:line="240" w:lineRule="auto"/>
                    <w:jc w:val="center"/>
                    <w:rPr>
                      <w:rFonts w:ascii="宋体" w:hAnsi="宋体" w:eastAsia="宋体"/>
                      <w:sz w:val="18"/>
                      <w:szCs w:val="18"/>
                    </w:rPr>
                  </w:pPr>
                  <w:r>
                    <w:rPr>
                      <w:rFonts w:ascii="宋体" w:hAnsi="宋体" w:eastAsia="宋体"/>
                      <w:sz w:val="18"/>
                      <w:szCs w:val="18"/>
                    </w:rPr>
                    <w:t>门诊部</w:t>
                  </w:r>
                </w:p>
              </w:tc>
              <w:tc>
                <w:tcPr>
                  <w:tcW w:w="1260" w:type="dxa"/>
                  <w:tcBorders>
                    <w:top w:val="single" w:color="auto" w:sz="8" w:space="0"/>
                    <w:left w:val="single" w:color="auto" w:sz="4" w:space="0"/>
                    <w:bottom w:val="single" w:color="auto" w:sz="4" w:space="0"/>
                    <w:right w:val="single" w:color="auto" w:sz="8" w:space="0"/>
                  </w:tcBorders>
                  <w:vAlign w:val="center"/>
                </w:tcPr>
                <w:p w14:paraId="77E780FE">
                  <w:pPr>
                    <w:spacing w:line="240" w:lineRule="auto"/>
                    <w:jc w:val="center"/>
                    <w:rPr>
                      <w:rFonts w:ascii="宋体" w:hAnsi="宋体" w:eastAsia="宋体"/>
                      <w:sz w:val="18"/>
                      <w:szCs w:val="18"/>
                    </w:rPr>
                  </w:pPr>
                  <w:r>
                    <w:rPr>
                      <w:rFonts w:ascii="宋体" w:hAnsi="宋体" w:eastAsia="宋体"/>
                      <w:sz w:val="18"/>
                      <w:szCs w:val="18"/>
                    </w:rPr>
                    <w:t>门诊诊室</w:t>
                  </w:r>
                </w:p>
              </w:tc>
              <w:tc>
                <w:tcPr>
                  <w:tcW w:w="240" w:type="dxa"/>
                  <w:tcBorders>
                    <w:top w:val="single" w:color="auto" w:sz="8" w:space="0"/>
                    <w:left w:val="single" w:color="auto" w:sz="8" w:space="0"/>
                    <w:bottom w:val="single" w:color="auto" w:sz="4" w:space="0"/>
                    <w:right w:val="single" w:color="auto" w:sz="4" w:space="0"/>
                  </w:tcBorders>
                  <w:vAlign w:val="center"/>
                </w:tcPr>
                <w:p w14:paraId="074C81CB">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8" w:space="0"/>
                    <w:left w:val="single" w:color="auto" w:sz="4" w:space="0"/>
                    <w:bottom w:val="single" w:color="auto" w:sz="4" w:space="0"/>
                    <w:right w:val="single" w:color="auto" w:sz="4" w:space="0"/>
                  </w:tcBorders>
                  <w:vAlign w:val="center"/>
                </w:tcPr>
                <w:p w14:paraId="1D1C036B">
                  <w:pPr>
                    <w:spacing w:line="240" w:lineRule="auto"/>
                    <w:jc w:val="center"/>
                    <w:rPr>
                      <w:rFonts w:ascii="宋体" w:hAnsi="宋体" w:eastAsia="宋体"/>
                      <w:sz w:val="18"/>
                      <w:szCs w:val="18"/>
                    </w:rPr>
                  </w:pPr>
                </w:p>
              </w:tc>
              <w:tc>
                <w:tcPr>
                  <w:tcW w:w="240" w:type="dxa"/>
                  <w:tcBorders>
                    <w:top w:val="single" w:color="auto" w:sz="8" w:space="0"/>
                    <w:left w:val="single" w:color="auto" w:sz="4" w:space="0"/>
                    <w:bottom w:val="single" w:color="auto" w:sz="4" w:space="0"/>
                    <w:right w:val="single" w:color="auto" w:sz="8" w:space="0"/>
                  </w:tcBorders>
                  <w:vAlign w:val="center"/>
                </w:tcPr>
                <w:p w14:paraId="56BBDBF6">
                  <w:pPr>
                    <w:spacing w:line="240" w:lineRule="auto"/>
                    <w:jc w:val="center"/>
                    <w:rPr>
                      <w:rFonts w:ascii="宋体" w:hAnsi="宋体" w:eastAsia="宋体"/>
                      <w:sz w:val="18"/>
                      <w:szCs w:val="18"/>
                    </w:rPr>
                  </w:pPr>
                </w:p>
              </w:tc>
              <w:tc>
                <w:tcPr>
                  <w:tcW w:w="321" w:type="dxa"/>
                  <w:tcBorders>
                    <w:top w:val="single" w:color="auto" w:sz="8" w:space="0"/>
                    <w:left w:val="single" w:color="auto" w:sz="8" w:space="0"/>
                    <w:bottom w:val="single" w:color="auto" w:sz="4" w:space="0"/>
                    <w:right w:val="single" w:color="auto" w:sz="4" w:space="0"/>
                  </w:tcBorders>
                  <w:vAlign w:val="center"/>
                </w:tcPr>
                <w:p w14:paraId="7FF26021">
                  <w:pPr>
                    <w:spacing w:line="240" w:lineRule="auto"/>
                    <w:jc w:val="center"/>
                    <w:rPr>
                      <w:rFonts w:ascii="宋体" w:hAnsi="宋体" w:eastAsia="宋体"/>
                      <w:sz w:val="18"/>
                      <w:szCs w:val="18"/>
                    </w:rPr>
                  </w:pPr>
                </w:p>
              </w:tc>
              <w:tc>
                <w:tcPr>
                  <w:tcW w:w="322" w:type="dxa"/>
                  <w:tcBorders>
                    <w:top w:val="single" w:color="auto" w:sz="8" w:space="0"/>
                    <w:left w:val="single" w:color="auto" w:sz="4" w:space="0"/>
                    <w:bottom w:val="single" w:color="auto" w:sz="4" w:space="0"/>
                    <w:right w:val="single" w:color="auto" w:sz="4" w:space="0"/>
                  </w:tcBorders>
                  <w:vAlign w:val="center"/>
                </w:tcPr>
                <w:p w14:paraId="105EC42F">
                  <w:pPr>
                    <w:spacing w:line="240" w:lineRule="auto"/>
                    <w:jc w:val="center"/>
                    <w:rPr>
                      <w:rFonts w:ascii="宋体" w:hAnsi="宋体" w:eastAsia="宋体"/>
                      <w:sz w:val="18"/>
                      <w:szCs w:val="18"/>
                    </w:rPr>
                  </w:pPr>
                </w:p>
              </w:tc>
              <w:tc>
                <w:tcPr>
                  <w:tcW w:w="322" w:type="dxa"/>
                  <w:tcBorders>
                    <w:top w:val="single" w:color="auto" w:sz="8" w:space="0"/>
                    <w:left w:val="single" w:color="auto" w:sz="4" w:space="0"/>
                    <w:bottom w:val="single" w:color="auto" w:sz="4" w:space="0"/>
                    <w:right w:val="single" w:color="auto" w:sz="8" w:space="0"/>
                  </w:tcBorders>
                  <w:vAlign w:val="center"/>
                </w:tcPr>
                <w:p w14:paraId="1E98EBA9">
                  <w:pPr>
                    <w:spacing w:line="240" w:lineRule="auto"/>
                    <w:jc w:val="center"/>
                    <w:rPr>
                      <w:rFonts w:ascii="宋体" w:hAnsi="宋体" w:eastAsia="宋体"/>
                      <w:sz w:val="18"/>
                      <w:szCs w:val="18"/>
                    </w:rPr>
                  </w:pPr>
                </w:p>
              </w:tc>
              <w:tc>
                <w:tcPr>
                  <w:tcW w:w="264" w:type="dxa"/>
                  <w:tcBorders>
                    <w:top w:val="single" w:color="auto" w:sz="8" w:space="0"/>
                    <w:left w:val="single" w:color="auto" w:sz="8" w:space="0"/>
                    <w:bottom w:val="single" w:color="auto" w:sz="4" w:space="0"/>
                    <w:right w:val="single" w:color="auto" w:sz="4" w:space="0"/>
                  </w:tcBorders>
                  <w:vAlign w:val="center"/>
                </w:tcPr>
                <w:p w14:paraId="6B9568CA">
                  <w:pPr>
                    <w:spacing w:line="240" w:lineRule="auto"/>
                    <w:jc w:val="center"/>
                    <w:rPr>
                      <w:rFonts w:ascii="宋体" w:hAnsi="宋体" w:eastAsia="宋体"/>
                      <w:sz w:val="18"/>
                      <w:szCs w:val="18"/>
                      <w:u w:val="single"/>
                    </w:rPr>
                  </w:pPr>
                </w:p>
              </w:tc>
              <w:tc>
                <w:tcPr>
                  <w:tcW w:w="265" w:type="dxa"/>
                  <w:tcBorders>
                    <w:top w:val="single" w:color="auto" w:sz="8" w:space="0"/>
                    <w:left w:val="single" w:color="auto" w:sz="4" w:space="0"/>
                    <w:bottom w:val="single" w:color="auto" w:sz="4" w:space="0"/>
                    <w:right w:val="single" w:color="auto" w:sz="4" w:space="0"/>
                  </w:tcBorders>
                  <w:vAlign w:val="center"/>
                </w:tcPr>
                <w:p w14:paraId="5DE208A3">
                  <w:pPr>
                    <w:spacing w:line="240" w:lineRule="auto"/>
                    <w:jc w:val="center"/>
                    <w:rPr>
                      <w:rFonts w:ascii="宋体" w:hAnsi="宋体" w:eastAsia="宋体"/>
                      <w:sz w:val="18"/>
                      <w:szCs w:val="18"/>
                      <w:u w:val="single"/>
                    </w:rPr>
                  </w:pPr>
                </w:p>
              </w:tc>
              <w:tc>
                <w:tcPr>
                  <w:tcW w:w="265" w:type="dxa"/>
                  <w:tcBorders>
                    <w:top w:val="single" w:color="auto" w:sz="8" w:space="0"/>
                    <w:left w:val="single" w:color="auto" w:sz="4" w:space="0"/>
                    <w:bottom w:val="single" w:color="auto" w:sz="4" w:space="0"/>
                    <w:right w:val="single" w:color="auto" w:sz="8" w:space="0"/>
                  </w:tcBorders>
                  <w:vAlign w:val="center"/>
                </w:tcPr>
                <w:p w14:paraId="43724DC6">
                  <w:pPr>
                    <w:spacing w:line="240" w:lineRule="auto"/>
                    <w:jc w:val="center"/>
                    <w:rPr>
                      <w:rFonts w:ascii="宋体" w:hAnsi="宋体" w:eastAsia="宋体"/>
                      <w:sz w:val="18"/>
                      <w:szCs w:val="18"/>
                      <w:u w:val="single"/>
                    </w:rPr>
                  </w:pPr>
                </w:p>
              </w:tc>
            </w:tr>
            <w:tr w14:paraId="481F4287">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15706C0A">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14ED8A03">
                  <w:pPr>
                    <w:spacing w:line="240" w:lineRule="auto"/>
                    <w:jc w:val="center"/>
                    <w:rPr>
                      <w:rFonts w:ascii="宋体" w:hAnsi="宋体" w:eastAsia="宋体"/>
                      <w:sz w:val="18"/>
                      <w:szCs w:val="18"/>
                    </w:rPr>
                  </w:pPr>
                  <w:r>
                    <w:rPr>
                      <w:rFonts w:ascii="宋体" w:hAnsi="宋体" w:eastAsia="宋体"/>
                      <w:sz w:val="18"/>
                      <w:szCs w:val="18"/>
                    </w:rPr>
                    <w:t>门诊治疗室</w:t>
                  </w:r>
                </w:p>
              </w:tc>
              <w:tc>
                <w:tcPr>
                  <w:tcW w:w="240" w:type="dxa"/>
                  <w:tcBorders>
                    <w:top w:val="single" w:color="auto" w:sz="4" w:space="0"/>
                    <w:left w:val="single" w:color="auto" w:sz="8" w:space="0"/>
                    <w:bottom w:val="single" w:color="auto" w:sz="4" w:space="0"/>
                    <w:right w:val="single" w:color="auto" w:sz="4" w:space="0"/>
                  </w:tcBorders>
                  <w:vAlign w:val="center"/>
                </w:tcPr>
                <w:p w14:paraId="77D4486A">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25EAF49C">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41B6BFF1">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1AEE4E07">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3343557">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44EF196E">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23AF6E19">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1C1F8675">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0075F406">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22368F80">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7247FF4C">
                  <w:pPr>
                    <w:spacing w:line="240" w:lineRule="auto"/>
                    <w:jc w:val="center"/>
                    <w:rPr>
                      <w:rFonts w:ascii="宋体" w:hAnsi="宋体" w:eastAsia="宋体"/>
                      <w:sz w:val="18"/>
                      <w:szCs w:val="18"/>
                    </w:rPr>
                  </w:pPr>
                  <w:r>
                    <w:rPr>
                      <w:rFonts w:ascii="宋体" w:hAnsi="宋体" w:eastAsia="宋体"/>
                      <w:sz w:val="18"/>
                      <w:szCs w:val="18"/>
                    </w:rPr>
                    <w:t>急诊部</w:t>
                  </w:r>
                </w:p>
              </w:tc>
              <w:tc>
                <w:tcPr>
                  <w:tcW w:w="1260" w:type="dxa"/>
                  <w:tcBorders>
                    <w:top w:val="single" w:color="auto" w:sz="4" w:space="0"/>
                    <w:left w:val="single" w:color="auto" w:sz="4" w:space="0"/>
                    <w:bottom w:val="single" w:color="auto" w:sz="4" w:space="0"/>
                    <w:right w:val="single" w:color="auto" w:sz="8" w:space="0"/>
                  </w:tcBorders>
                  <w:vAlign w:val="center"/>
                </w:tcPr>
                <w:p w14:paraId="4F19EC23">
                  <w:pPr>
                    <w:spacing w:line="240" w:lineRule="auto"/>
                    <w:jc w:val="center"/>
                    <w:rPr>
                      <w:rFonts w:ascii="宋体" w:hAnsi="宋体" w:eastAsia="宋体"/>
                      <w:sz w:val="18"/>
                      <w:szCs w:val="18"/>
                    </w:rPr>
                  </w:pPr>
                  <w:r>
                    <w:rPr>
                      <w:rFonts w:ascii="宋体" w:hAnsi="宋体" w:eastAsia="宋体"/>
                      <w:sz w:val="18"/>
                      <w:szCs w:val="18"/>
                    </w:rPr>
                    <w:t>急诊诊室</w:t>
                  </w:r>
                </w:p>
              </w:tc>
              <w:tc>
                <w:tcPr>
                  <w:tcW w:w="240" w:type="dxa"/>
                  <w:tcBorders>
                    <w:top w:val="single" w:color="auto" w:sz="4" w:space="0"/>
                    <w:left w:val="single" w:color="auto" w:sz="8" w:space="0"/>
                    <w:bottom w:val="single" w:color="auto" w:sz="4" w:space="0"/>
                    <w:right w:val="single" w:color="auto" w:sz="4" w:space="0"/>
                  </w:tcBorders>
                  <w:vAlign w:val="center"/>
                </w:tcPr>
                <w:p w14:paraId="3084D95A">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739314FA">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6C98BF5E">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3AF25F6D">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F43B02F">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62CB083D">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2207EE18">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2545D1B5">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028ACF12">
                  <w:pPr>
                    <w:spacing w:line="240" w:lineRule="auto"/>
                    <w:jc w:val="center"/>
                    <w:rPr>
                      <w:rFonts w:ascii="宋体" w:hAnsi="宋体" w:eastAsia="宋体"/>
                      <w:sz w:val="18"/>
                      <w:szCs w:val="18"/>
                      <w:u w:val="single"/>
                    </w:rPr>
                  </w:pPr>
                </w:p>
              </w:tc>
            </w:tr>
            <w:tr w14:paraId="29A35A2C">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222BF08E">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0AB833E8">
                  <w:pPr>
                    <w:spacing w:line="240" w:lineRule="auto"/>
                    <w:jc w:val="center"/>
                    <w:rPr>
                      <w:rFonts w:ascii="宋体" w:hAnsi="宋体" w:eastAsia="宋体"/>
                      <w:sz w:val="18"/>
                      <w:szCs w:val="18"/>
                      <w:u w:val="single"/>
                    </w:rPr>
                  </w:pPr>
                  <w:r>
                    <w:rPr>
                      <w:rFonts w:ascii="宋体" w:hAnsi="宋体" w:eastAsia="宋体"/>
                      <w:sz w:val="18"/>
                      <w:szCs w:val="18"/>
                    </w:rPr>
                    <w:t>急诊抢救室</w:t>
                  </w:r>
                  <w:r>
                    <w:rPr>
                      <w:rFonts w:hint="eastAsia" w:ascii="宋体" w:hAnsi="宋体" w:eastAsia="宋体"/>
                      <w:sz w:val="18"/>
                      <w:szCs w:val="18"/>
                      <w:u w:val="single"/>
                    </w:rPr>
                    <w:t>、急诊检查设备</w:t>
                  </w:r>
                </w:p>
              </w:tc>
              <w:tc>
                <w:tcPr>
                  <w:tcW w:w="240" w:type="dxa"/>
                  <w:tcBorders>
                    <w:top w:val="single" w:color="auto" w:sz="4" w:space="0"/>
                    <w:left w:val="single" w:color="auto" w:sz="8" w:space="0"/>
                    <w:bottom w:val="single" w:color="auto" w:sz="4" w:space="0"/>
                    <w:right w:val="single" w:color="auto" w:sz="4" w:space="0"/>
                  </w:tcBorders>
                  <w:vAlign w:val="center"/>
                </w:tcPr>
                <w:p w14:paraId="57AC0739">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7D9DFB88">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30C78AD7">
                  <w:pPr>
                    <w:spacing w:line="240" w:lineRule="auto"/>
                    <w:jc w:val="center"/>
                    <w:rPr>
                      <w:rFonts w:ascii="宋体" w:hAnsi="宋体" w:eastAsia="宋体"/>
                      <w:sz w:val="18"/>
                      <w:szCs w:val="18"/>
                    </w:rPr>
                  </w:pPr>
                  <w:r>
                    <w:rPr>
                      <w:rFonts w:ascii="宋体" w:hAnsi="宋体" w:eastAsia="宋体"/>
                      <w:sz w:val="18"/>
                      <w:szCs w:val="18"/>
                    </w:rPr>
                    <w:t>X</w:t>
                  </w:r>
                </w:p>
              </w:tc>
              <w:tc>
                <w:tcPr>
                  <w:tcW w:w="321" w:type="dxa"/>
                  <w:tcBorders>
                    <w:top w:val="single" w:color="auto" w:sz="4" w:space="0"/>
                    <w:left w:val="single" w:color="auto" w:sz="8" w:space="0"/>
                    <w:bottom w:val="single" w:color="auto" w:sz="4" w:space="0"/>
                    <w:right w:val="single" w:color="auto" w:sz="4" w:space="0"/>
                  </w:tcBorders>
                  <w:vAlign w:val="center"/>
                </w:tcPr>
                <w:p w14:paraId="72262C73">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3D842985">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1239A2F8">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82DBACB">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1D63C827">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180241CF">
                  <w:pPr>
                    <w:spacing w:line="240" w:lineRule="auto"/>
                    <w:jc w:val="center"/>
                    <w:rPr>
                      <w:rFonts w:ascii="宋体" w:hAnsi="宋体" w:eastAsia="宋体"/>
                      <w:sz w:val="18"/>
                      <w:szCs w:val="18"/>
                      <w:u w:val="single"/>
                    </w:rPr>
                  </w:pPr>
                </w:p>
              </w:tc>
            </w:tr>
            <w:tr w14:paraId="5BB4680E">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7AC717C2">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42E75C25">
                  <w:pPr>
                    <w:spacing w:line="240" w:lineRule="auto"/>
                    <w:jc w:val="center"/>
                    <w:rPr>
                      <w:rFonts w:ascii="宋体" w:hAnsi="宋体" w:eastAsia="宋体"/>
                      <w:sz w:val="18"/>
                      <w:szCs w:val="18"/>
                    </w:rPr>
                  </w:pPr>
                  <w:r>
                    <w:rPr>
                      <w:rFonts w:ascii="宋体" w:hAnsi="宋体" w:eastAsia="宋体"/>
                      <w:sz w:val="18"/>
                      <w:szCs w:val="18"/>
                    </w:rPr>
                    <w:t>急诊观察室、处置室</w:t>
                  </w:r>
                </w:p>
              </w:tc>
              <w:tc>
                <w:tcPr>
                  <w:tcW w:w="240" w:type="dxa"/>
                  <w:tcBorders>
                    <w:top w:val="single" w:color="auto" w:sz="4" w:space="0"/>
                    <w:left w:val="single" w:color="auto" w:sz="8" w:space="0"/>
                    <w:bottom w:val="single" w:color="auto" w:sz="4" w:space="0"/>
                    <w:right w:val="single" w:color="auto" w:sz="4" w:space="0"/>
                  </w:tcBorders>
                  <w:vAlign w:val="center"/>
                </w:tcPr>
                <w:p w14:paraId="40C6DC38">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27FB35F3">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6B516A71">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2D6D4F9D">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5593F680">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28647CBF">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3212629C">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065DCF7F">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57EDDFED">
                  <w:pPr>
                    <w:spacing w:line="240" w:lineRule="auto"/>
                    <w:jc w:val="center"/>
                    <w:rPr>
                      <w:rFonts w:ascii="宋体" w:hAnsi="宋体" w:eastAsia="宋体"/>
                      <w:sz w:val="18"/>
                      <w:szCs w:val="18"/>
                      <w:u w:val="single"/>
                    </w:rPr>
                  </w:pPr>
                </w:p>
              </w:tc>
            </w:tr>
            <w:tr w14:paraId="4FFC341E">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3308BC93">
                  <w:pPr>
                    <w:spacing w:line="240" w:lineRule="auto"/>
                    <w:jc w:val="center"/>
                    <w:rPr>
                      <w:rFonts w:ascii="宋体" w:hAnsi="宋体" w:eastAsia="宋体"/>
                      <w:sz w:val="18"/>
                      <w:szCs w:val="18"/>
                    </w:rPr>
                  </w:pPr>
                  <w:r>
                    <w:rPr>
                      <w:rFonts w:ascii="宋体" w:hAnsi="宋体" w:eastAsia="宋体"/>
                      <w:sz w:val="18"/>
                      <w:szCs w:val="18"/>
                    </w:rPr>
                    <w:t>住院部</w:t>
                  </w:r>
                </w:p>
              </w:tc>
              <w:tc>
                <w:tcPr>
                  <w:tcW w:w="1260" w:type="dxa"/>
                  <w:tcBorders>
                    <w:top w:val="single" w:color="auto" w:sz="4" w:space="0"/>
                    <w:left w:val="single" w:color="auto" w:sz="4" w:space="0"/>
                    <w:bottom w:val="single" w:color="auto" w:sz="4" w:space="0"/>
                    <w:right w:val="single" w:color="auto" w:sz="8" w:space="0"/>
                  </w:tcBorders>
                  <w:vAlign w:val="center"/>
                </w:tcPr>
                <w:p w14:paraId="713724EC">
                  <w:pPr>
                    <w:spacing w:line="240" w:lineRule="auto"/>
                    <w:jc w:val="center"/>
                    <w:rPr>
                      <w:rFonts w:ascii="宋体" w:hAnsi="宋体" w:eastAsia="宋体"/>
                      <w:sz w:val="18"/>
                      <w:szCs w:val="18"/>
                    </w:rPr>
                  </w:pPr>
                  <w:r>
                    <w:rPr>
                      <w:rFonts w:hint="eastAsia" w:ascii="宋体" w:hAnsi="宋体" w:eastAsia="宋体"/>
                      <w:sz w:val="18"/>
                      <w:szCs w:val="18"/>
                      <w:u w:val="single"/>
                    </w:rPr>
                    <w:t>普通</w:t>
                  </w:r>
                  <w:r>
                    <w:rPr>
                      <w:rFonts w:ascii="宋体" w:hAnsi="宋体" w:eastAsia="宋体"/>
                      <w:sz w:val="18"/>
                      <w:szCs w:val="18"/>
                    </w:rPr>
                    <w:t>病房</w:t>
                  </w:r>
                </w:p>
              </w:tc>
              <w:tc>
                <w:tcPr>
                  <w:tcW w:w="240" w:type="dxa"/>
                  <w:tcBorders>
                    <w:top w:val="single" w:color="auto" w:sz="4" w:space="0"/>
                    <w:left w:val="single" w:color="auto" w:sz="8" w:space="0"/>
                    <w:bottom w:val="single" w:color="auto" w:sz="4" w:space="0"/>
                    <w:right w:val="single" w:color="auto" w:sz="4" w:space="0"/>
                  </w:tcBorders>
                  <w:vAlign w:val="center"/>
                </w:tcPr>
                <w:p w14:paraId="6B90638C">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D47EEC4">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6B9FA73F">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66E0181E">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3E0A1708">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24226978">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5734F915">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26448853">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2E2EAEFF">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6AA9895B">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196847AE">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50929D73">
                  <w:pPr>
                    <w:spacing w:line="240" w:lineRule="auto"/>
                    <w:jc w:val="center"/>
                    <w:rPr>
                      <w:rFonts w:ascii="宋体" w:hAnsi="宋体" w:eastAsia="宋体"/>
                      <w:sz w:val="18"/>
                      <w:szCs w:val="18"/>
                    </w:rPr>
                  </w:pPr>
                  <w:r>
                    <w:rPr>
                      <w:rFonts w:hint="eastAsia" w:ascii="宋体" w:hAnsi="宋体" w:eastAsia="宋体"/>
                      <w:sz w:val="18"/>
                      <w:szCs w:val="18"/>
                    </w:rPr>
                    <w:t>血液病房的净化室、</w:t>
                  </w:r>
                  <w:r>
                    <w:rPr>
                      <w:rFonts w:ascii="宋体" w:hAnsi="宋体" w:eastAsia="宋体"/>
                      <w:sz w:val="18"/>
                      <w:szCs w:val="18"/>
                    </w:rPr>
                    <w:t>产房、</w:t>
                  </w:r>
                  <w:r>
                    <w:rPr>
                      <w:rFonts w:hint="eastAsia" w:ascii="宋体" w:hAnsi="宋体" w:eastAsia="宋体"/>
                      <w:sz w:val="18"/>
                      <w:szCs w:val="18"/>
                    </w:rPr>
                    <w:t>烧伤病房</w:t>
                  </w:r>
                </w:p>
              </w:tc>
              <w:tc>
                <w:tcPr>
                  <w:tcW w:w="240" w:type="dxa"/>
                  <w:tcBorders>
                    <w:top w:val="single" w:color="auto" w:sz="4" w:space="0"/>
                    <w:left w:val="single" w:color="auto" w:sz="8" w:space="0"/>
                    <w:bottom w:val="single" w:color="auto" w:sz="4" w:space="0"/>
                    <w:right w:val="single" w:color="auto" w:sz="4" w:space="0"/>
                  </w:tcBorders>
                  <w:vAlign w:val="center"/>
                </w:tcPr>
                <w:p w14:paraId="23AF2A4F">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1F6D0E6">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44B8C3DF">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F3F2450">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34611D41">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0CAC1AC3">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18B5DA4">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1A943C44">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43D8AE75">
                  <w:pPr>
                    <w:spacing w:line="240" w:lineRule="auto"/>
                    <w:jc w:val="center"/>
                    <w:rPr>
                      <w:rFonts w:ascii="宋体" w:hAnsi="宋体" w:eastAsia="宋体"/>
                      <w:sz w:val="18"/>
                      <w:szCs w:val="18"/>
                      <w:u w:val="single"/>
                    </w:rPr>
                  </w:pPr>
                </w:p>
              </w:tc>
            </w:tr>
            <w:tr w14:paraId="53A48B6D">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05075382">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051B67D7">
                  <w:pPr>
                    <w:spacing w:line="240" w:lineRule="auto"/>
                    <w:jc w:val="center"/>
                    <w:rPr>
                      <w:rFonts w:ascii="宋体" w:hAnsi="宋体" w:eastAsia="宋体"/>
                      <w:sz w:val="18"/>
                      <w:szCs w:val="18"/>
                    </w:rPr>
                  </w:pPr>
                  <w:r>
                    <w:rPr>
                      <w:rFonts w:ascii="宋体" w:hAnsi="宋体" w:eastAsia="宋体"/>
                      <w:sz w:val="18"/>
                      <w:szCs w:val="18"/>
                    </w:rPr>
                    <w:t>早产儿监护室</w:t>
                  </w:r>
                </w:p>
              </w:tc>
              <w:tc>
                <w:tcPr>
                  <w:tcW w:w="240" w:type="dxa"/>
                  <w:tcBorders>
                    <w:top w:val="single" w:color="auto" w:sz="4" w:space="0"/>
                    <w:left w:val="single" w:color="auto" w:sz="8" w:space="0"/>
                    <w:bottom w:val="single" w:color="auto" w:sz="4" w:space="0"/>
                    <w:right w:val="single" w:color="auto" w:sz="4" w:space="0"/>
                  </w:tcBorders>
                  <w:vAlign w:val="center"/>
                </w:tcPr>
                <w:p w14:paraId="076B4CC5">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3A6CD4BE">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7C2A592F">
                  <w:pPr>
                    <w:spacing w:line="240" w:lineRule="auto"/>
                    <w:jc w:val="center"/>
                    <w:rPr>
                      <w:rFonts w:ascii="宋体" w:hAnsi="宋体" w:eastAsia="宋体"/>
                      <w:sz w:val="18"/>
                      <w:szCs w:val="18"/>
                    </w:rPr>
                  </w:pPr>
                  <w:r>
                    <w:rPr>
                      <w:rFonts w:ascii="宋体" w:hAnsi="宋体" w:eastAsia="宋体"/>
                      <w:sz w:val="18"/>
                      <w:szCs w:val="18"/>
                    </w:rPr>
                    <w:t>X</w:t>
                  </w:r>
                </w:p>
              </w:tc>
              <w:tc>
                <w:tcPr>
                  <w:tcW w:w="321" w:type="dxa"/>
                  <w:tcBorders>
                    <w:top w:val="single" w:color="auto" w:sz="4" w:space="0"/>
                    <w:left w:val="single" w:color="auto" w:sz="8" w:space="0"/>
                    <w:bottom w:val="single" w:color="auto" w:sz="4" w:space="0"/>
                    <w:right w:val="single" w:color="auto" w:sz="4" w:space="0"/>
                  </w:tcBorders>
                  <w:vAlign w:val="center"/>
                </w:tcPr>
                <w:p w14:paraId="7FAC49F2">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0F9DBC15">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31452C26">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5BB8253">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45837FCC">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0CA8030">
                  <w:pPr>
                    <w:spacing w:line="240" w:lineRule="auto"/>
                    <w:jc w:val="center"/>
                    <w:rPr>
                      <w:rFonts w:ascii="宋体" w:hAnsi="宋体" w:eastAsia="宋体"/>
                      <w:sz w:val="18"/>
                      <w:szCs w:val="18"/>
                      <w:u w:val="single"/>
                    </w:rPr>
                  </w:pPr>
                </w:p>
              </w:tc>
            </w:tr>
            <w:tr w14:paraId="5B9EBDB4">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6A85B434">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265F2667">
                  <w:pPr>
                    <w:spacing w:line="240" w:lineRule="auto"/>
                    <w:jc w:val="center"/>
                    <w:rPr>
                      <w:rFonts w:ascii="宋体" w:hAnsi="宋体" w:eastAsia="宋体"/>
                      <w:sz w:val="18"/>
                      <w:szCs w:val="18"/>
                    </w:rPr>
                  </w:pPr>
                  <w:r>
                    <w:rPr>
                      <w:rFonts w:ascii="宋体" w:hAnsi="宋体" w:eastAsia="宋体"/>
                      <w:sz w:val="18"/>
                      <w:szCs w:val="18"/>
                    </w:rPr>
                    <w:t>婴儿室</w:t>
                  </w:r>
                </w:p>
              </w:tc>
              <w:tc>
                <w:tcPr>
                  <w:tcW w:w="240" w:type="dxa"/>
                  <w:tcBorders>
                    <w:top w:val="single" w:color="auto" w:sz="4" w:space="0"/>
                    <w:left w:val="single" w:color="auto" w:sz="8" w:space="0"/>
                    <w:bottom w:val="single" w:color="auto" w:sz="4" w:space="0"/>
                    <w:right w:val="single" w:color="auto" w:sz="4" w:space="0"/>
                  </w:tcBorders>
                  <w:vAlign w:val="center"/>
                </w:tcPr>
                <w:p w14:paraId="2B510C65">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5F554366">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65078F8C">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6E1AD27C">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1609DD14">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13730FD3">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032D709">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797055C0">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5968CA7">
                  <w:pPr>
                    <w:spacing w:line="240" w:lineRule="auto"/>
                    <w:jc w:val="center"/>
                    <w:rPr>
                      <w:rFonts w:ascii="宋体" w:hAnsi="宋体" w:eastAsia="宋体"/>
                      <w:sz w:val="18"/>
                      <w:szCs w:val="18"/>
                      <w:u w:val="single"/>
                    </w:rPr>
                  </w:pPr>
                </w:p>
              </w:tc>
            </w:tr>
            <w:tr w14:paraId="2E83C8FC">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73E096D4">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0A072733">
                  <w:pPr>
                    <w:spacing w:line="240" w:lineRule="auto"/>
                    <w:jc w:val="center"/>
                    <w:rPr>
                      <w:rFonts w:ascii="宋体" w:hAnsi="宋体" w:eastAsia="宋体"/>
                      <w:sz w:val="18"/>
                      <w:szCs w:val="18"/>
                    </w:rPr>
                  </w:pPr>
                  <w:r>
                    <w:rPr>
                      <w:rFonts w:ascii="宋体" w:hAnsi="宋体" w:eastAsia="宋体"/>
                      <w:sz w:val="18"/>
                      <w:szCs w:val="18"/>
                    </w:rPr>
                    <w:t>重症监护室</w:t>
                  </w:r>
                  <w:r>
                    <w:rPr>
                      <w:rFonts w:hint="eastAsia" w:ascii="宋体" w:hAnsi="宋体" w:eastAsia="宋体"/>
                      <w:sz w:val="18"/>
                      <w:szCs w:val="18"/>
                      <w:u w:val="single"/>
                    </w:rPr>
                    <w:t>（I</w:t>
                  </w:r>
                  <w:r>
                    <w:rPr>
                      <w:rFonts w:ascii="宋体" w:hAnsi="宋体" w:eastAsia="宋体"/>
                      <w:sz w:val="18"/>
                      <w:szCs w:val="18"/>
                      <w:u w:val="single"/>
                    </w:rPr>
                    <w:t>CU</w:t>
                  </w:r>
                  <w:r>
                    <w:rPr>
                      <w:rFonts w:hint="eastAsia" w:ascii="宋体" w:hAnsi="宋体" w:eastAsia="宋体"/>
                      <w:sz w:val="18"/>
                      <w:szCs w:val="18"/>
                      <w:u w:val="single"/>
                    </w:rPr>
                    <w:t>）</w:t>
                  </w:r>
                </w:p>
              </w:tc>
              <w:tc>
                <w:tcPr>
                  <w:tcW w:w="240" w:type="dxa"/>
                  <w:tcBorders>
                    <w:top w:val="single" w:color="auto" w:sz="4" w:space="0"/>
                    <w:left w:val="single" w:color="auto" w:sz="8" w:space="0"/>
                    <w:bottom w:val="single" w:color="auto" w:sz="4" w:space="0"/>
                    <w:right w:val="single" w:color="auto" w:sz="4" w:space="0"/>
                  </w:tcBorders>
                  <w:vAlign w:val="center"/>
                </w:tcPr>
                <w:p w14:paraId="4F777D75">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3614D89B">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58C689C0">
                  <w:pPr>
                    <w:spacing w:line="240" w:lineRule="auto"/>
                    <w:jc w:val="center"/>
                    <w:rPr>
                      <w:rFonts w:ascii="宋体" w:hAnsi="宋体" w:eastAsia="宋体"/>
                      <w:sz w:val="18"/>
                      <w:szCs w:val="18"/>
                    </w:rPr>
                  </w:pPr>
                  <w:r>
                    <w:rPr>
                      <w:rFonts w:ascii="宋体" w:hAnsi="宋体" w:eastAsia="宋体"/>
                      <w:sz w:val="18"/>
                      <w:szCs w:val="18"/>
                    </w:rPr>
                    <w:t>X</w:t>
                  </w:r>
                </w:p>
              </w:tc>
              <w:tc>
                <w:tcPr>
                  <w:tcW w:w="321" w:type="dxa"/>
                  <w:tcBorders>
                    <w:top w:val="single" w:color="auto" w:sz="4" w:space="0"/>
                    <w:left w:val="single" w:color="auto" w:sz="8" w:space="0"/>
                    <w:bottom w:val="single" w:color="auto" w:sz="4" w:space="0"/>
                    <w:right w:val="single" w:color="auto" w:sz="4" w:space="0"/>
                  </w:tcBorders>
                  <w:vAlign w:val="center"/>
                </w:tcPr>
                <w:p w14:paraId="539F639D">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24BD6836">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1153A1DB">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07517EA">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37233F2E">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5E3B9303">
                  <w:pPr>
                    <w:spacing w:line="240" w:lineRule="auto"/>
                    <w:jc w:val="center"/>
                    <w:rPr>
                      <w:rFonts w:ascii="宋体" w:hAnsi="宋体" w:eastAsia="宋体"/>
                      <w:sz w:val="18"/>
                      <w:szCs w:val="18"/>
                      <w:u w:val="single"/>
                    </w:rPr>
                  </w:pPr>
                </w:p>
              </w:tc>
            </w:tr>
            <w:tr w14:paraId="7DABE71B">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10C23ECC">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06EFC405">
                  <w:pPr>
                    <w:spacing w:line="240" w:lineRule="auto"/>
                    <w:jc w:val="center"/>
                    <w:rPr>
                      <w:rFonts w:ascii="宋体" w:hAnsi="宋体" w:eastAsia="宋体"/>
                      <w:sz w:val="18"/>
                      <w:szCs w:val="18"/>
                    </w:rPr>
                  </w:pPr>
                  <w:r>
                    <w:rPr>
                      <w:rFonts w:ascii="宋体" w:hAnsi="宋体" w:eastAsia="宋体"/>
                      <w:sz w:val="18"/>
                      <w:szCs w:val="18"/>
                    </w:rPr>
                    <w:t>血液透析室</w:t>
                  </w:r>
                </w:p>
              </w:tc>
              <w:tc>
                <w:tcPr>
                  <w:tcW w:w="240" w:type="dxa"/>
                  <w:tcBorders>
                    <w:top w:val="single" w:color="auto" w:sz="4" w:space="0"/>
                    <w:left w:val="single" w:color="auto" w:sz="8" w:space="0"/>
                    <w:bottom w:val="single" w:color="auto" w:sz="4" w:space="0"/>
                    <w:right w:val="single" w:color="auto" w:sz="4" w:space="0"/>
                  </w:tcBorders>
                  <w:vAlign w:val="center"/>
                </w:tcPr>
                <w:p w14:paraId="373FB83A">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228B5CB1">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576FC10D">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54DE5E3">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8793152">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6C65FA5E">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1F42D15A">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61661E12">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259C711B">
                  <w:pPr>
                    <w:spacing w:line="240" w:lineRule="auto"/>
                    <w:jc w:val="center"/>
                    <w:rPr>
                      <w:rFonts w:ascii="宋体" w:hAnsi="宋体" w:eastAsia="宋体"/>
                      <w:sz w:val="18"/>
                      <w:szCs w:val="18"/>
                      <w:u w:val="single"/>
                    </w:rPr>
                  </w:pPr>
                </w:p>
              </w:tc>
            </w:tr>
            <w:tr w14:paraId="6F7695A1">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46CDEFE5">
                  <w:pPr>
                    <w:spacing w:line="240" w:lineRule="auto"/>
                    <w:jc w:val="center"/>
                    <w:rPr>
                      <w:rFonts w:ascii="宋体" w:hAnsi="宋体" w:eastAsia="宋体"/>
                      <w:sz w:val="18"/>
                      <w:szCs w:val="18"/>
                    </w:rPr>
                  </w:pPr>
                  <w:r>
                    <w:rPr>
                      <w:rFonts w:ascii="宋体" w:hAnsi="宋体" w:eastAsia="宋体"/>
                      <w:sz w:val="18"/>
                      <w:szCs w:val="18"/>
                    </w:rPr>
                    <w:t>手术部</w:t>
                  </w:r>
                </w:p>
              </w:tc>
              <w:tc>
                <w:tcPr>
                  <w:tcW w:w="1260" w:type="dxa"/>
                  <w:tcBorders>
                    <w:top w:val="single" w:color="auto" w:sz="4" w:space="0"/>
                    <w:left w:val="single" w:color="auto" w:sz="4" w:space="0"/>
                    <w:bottom w:val="single" w:color="auto" w:sz="4" w:space="0"/>
                    <w:right w:val="single" w:color="auto" w:sz="8" w:space="0"/>
                  </w:tcBorders>
                  <w:vAlign w:val="center"/>
                </w:tcPr>
                <w:p w14:paraId="6578EC0C">
                  <w:pPr>
                    <w:spacing w:line="240" w:lineRule="auto"/>
                    <w:jc w:val="center"/>
                    <w:rPr>
                      <w:rFonts w:ascii="宋体" w:hAnsi="宋体" w:eastAsia="宋体"/>
                      <w:sz w:val="18"/>
                      <w:szCs w:val="18"/>
                    </w:rPr>
                  </w:pPr>
                  <w:r>
                    <w:rPr>
                      <w:rFonts w:ascii="宋体" w:hAnsi="宋体" w:eastAsia="宋体"/>
                      <w:sz w:val="18"/>
                      <w:szCs w:val="18"/>
                    </w:rPr>
                    <w:t>手术室</w:t>
                  </w:r>
                  <w:r>
                    <w:rPr>
                      <w:rFonts w:hint="eastAsia" w:ascii="宋体" w:hAnsi="宋体" w:eastAsia="宋体"/>
                      <w:sz w:val="18"/>
                      <w:szCs w:val="18"/>
                      <w:u w:val="single"/>
                    </w:rPr>
                    <w:t>、术中检查设备</w:t>
                  </w:r>
                </w:p>
              </w:tc>
              <w:tc>
                <w:tcPr>
                  <w:tcW w:w="240" w:type="dxa"/>
                  <w:tcBorders>
                    <w:top w:val="single" w:color="auto" w:sz="4" w:space="0"/>
                    <w:left w:val="single" w:color="auto" w:sz="8" w:space="0"/>
                    <w:bottom w:val="single" w:color="auto" w:sz="4" w:space="0"/>
                    <w:right w:val="single" w:color="auto" w:sz="4" w:space="0"/>
                  </w:tcBorders>
                  <w:vAlign w:val="center"/>
                </w:tcPr>
                <w:p w14:paraId="6B04699D">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2354A36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010D412C">
                  <w:pPr>
                    <w:spacing w:line="240" w:lineRule="auto"/>
                    <w:jc w:val="center"/>
                    <w:rPr>
                      <w:rFonts w:ascii="宋体" w:hAnsi="宋体" w:eastAsia="宋体"/>
                      <w:sz w:val="18"/>
                      <w:szCs w:val="18"/>
                    </w:rPr>
                  </w:pPr>
                  <w:r>
                    <w:rPr>
                      <w:rFonts w:ascii="宋体" w:hAnsi="宋体" w:eastAsia="宋体"/>
                      <w:sz w:val="18"/>
                      <w:szCs w:val="18"/>
                    </w:rPr>
                    <w:t>X</w:t>
                  </w:r>
                </w:p>
              </w:tc>
              <w:tc>
                <w:tcPr>
                  <w:tcW w:w="321" w:type="dxa"/>
                  <w:tcBorders>
                    <w:top w:val="single" w:color="auto" w:sz="4" w:space="0"/>
                    <w:left w:val="single" w:color="auto" w:sz="8" w:space="0"/>
                    <w:bottom w:val="single" w:color="auto" w:sz="4" w:space="0"/>
                    <w:right w:val="single" w:color="auto" w:sz="4" w:space="0"/>
                  </w:tcBorders>
                  <w:vAlign w:val="center"/>
                </w:tcPr>
                <w:p w14:paraId="7489E28A">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68C4B2C1">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5D0A8DC6">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78EDC1D6">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543237EF">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2598BC25">
                  <w:pPr>
                    <w:spacing w:line="240" w:lineRule="auto"/>
                    <w:jc w:val="center"/>
                    <w:rPr>
                      <w:rFonts w:ascii="宋体" w:hAnsi="宋体" w:eastAsia="宋体"/>
                      <w:sz w:val="18"/>
                      <w:szCs w:val="18"/>
                      <w:u w:val="single"/>
                    </w:rPr>
                  </w:pPr>
                </w:p>
              </w:tc>
            </w:tr>
            <w:tr w14:paraId="549A2A27">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3357388D">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342144D4">
                  <w:pPr>
                    <w:spacing w:line="240" w:lineRule="auto"/>
                    <w:jc w:val="center"/>
                    <w:rPr>
                      <w:rFonts w:ascii="宋体" w:hAnsi="宋体" w:eastAsia="宋体"/>
                      <w:sz w:val="18"/>
                      <w:szCs w:val="18"/>
                    </w:rPr>
                  </w:pPr>
                  <w:r>
                    <w:rPr>
                      <w:rFonts w:ascii="宋体" w:hAnsi="宋体" w:eastAsia="宋体"/>
                      <w:sz w:val="18"/>
                      <w:szCs w:val="18"/>
                    </w:rPr>
                    <w:t>术前准备室、术后复苏室、麻醉室</w:t>
                  </w:r>
                </w:p>
              </w:tc>
              <w:tc>
                <w:tcPr>
                  <w:tcW w:w="240" w:type="dxa"/>
                  <w:tcBorders>
                    <w:top w:val="single" w:color="auto" w:sz="4" w:space="0"/>
                    <w:left w:val="single" w:color="auto" w:sz="8" w:space="0"/>
                    <w:bottom w:val="single" w:color="auto" w:sz="4" w:space="0"/>
                    <w:right w:val="single" w:color="auto" w:sz="4" w:space="0"/>
                  </w:tcBorders>
                  <w:vAlign w:val="center"/>
                </w:tcPr>
                <w:p w14:paraId="7B5A370E">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4EFEFD3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2744D477">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321" w:type="dxa"/>
                  <w:tcBorders>
                    <w:top w:val="single" w:color="auto" w:sz="4" w:space="0"/>
                    <w:left w:val="single" w:color="auto" w:sz="8" w:space="0"/>
                    <w:bottom w:val="single" w:color="auto" w:sz="4" w:space="0"/>
                    <w:right w:val="single" w:color="auto" w:sz="4" w:space="0"/>
                  </w:tcBorders>
                  <w:vAlign w:val="center"/>
                </w:tcPr>
                <w:p w14:paraId="16979686">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50765C7C">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67C6D7A9">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24C6DB2">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591936CE">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37586151">
                  <w:pPr>
                    <w:spacing w:line="240" w:lineRule="auto"/>
                    <w:jc w:val="center"/>
                    <w:rPr>
                      <w:rFonts w:ascii="宋体" w:hAnsi="宋体" w:eastAsia="宋体"/>
                      <w:sz w:val="18"/>
                      <w:szCs w:val="18"/>
                      <w:u w:val="single"/>
                    </w:rPr>
                  </w:pPr>
                </w:p>
              </w:tc>
            </w:tr>
            <w:tr w14:paraId="00AD9360">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3950102E">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4F8991C5">
                  <w:pPr>
                    <w:spacing w:line="240" w:lineRule="auto"/>
                    <w:jc w:val="center"/>
                    <w:rPr>
                      <w:rFonts w:ascii="宋体" w:hAnsi="宋体" w:eastAsia="宋体"/>
                      <w:sz w:val="18"/>
                      <w:szCs w:val="18"/>
                    </w:rPr>
                  </w:pPr>
                  <w:r>
                    <w:rPr>
                      <w:rFonts w:ascii="宋体" w:hAnsi="宋体" w:eastAsia="宋体"/>
                      <w:sz w:val="18"/>
                      <w:szCs w:val="18"/>
                    </w:rPr>
                    <w:t>护士站、麻醉师办公室、石膏室、冰冻切片室、敷料制作室、消毒敷料</w:t>
                  </w:r>
                  <w:r>
                    <w:rPr>
                      <w:rFonts w:hint="eastAsia" w:ascii="宋体" w:hAnsi="宋体" w:eastAsia="宋体"/>
                      <w:sz w:val="18"/>
                      <w:szCs w:val="18"/>
                    </w:rPr>
                    <w:t>室</w:t>
                  </w:r>
                </w:p>
              </w:tc>
              <w:tc>
                <w:tcPr>
                  <w:tcW w:w="240" w:type="dxa"/>
                  <w:tcBorders>
                    <w:top w:val="single" w:color="auto" w:sz="4" w:space="0"/>
                    <w:left w:val="single" w:color="auto" w:sz="8" w:space="0"/>
                    <w:bottom w:val="single" w:color="auto" w:sz="4" w:space="0"/>
                    <w:right w:val="single" w:color="auto" w:sz="4" w:space="0"/>
                  </w:tcBorders>
                  <w:vAlign w:val="center"/>
                </w:tcPr>
                <w:p w14:paraId="6BAA2355">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791A5BE0">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0343A514">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552097C0">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5E6A9663">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3A184B8D">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117362A">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0285D037">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291711F">
                  <w:pPr>
                    <w:spacing w:line="240" w:lineRule="auto"/>
                    <w:jc w:val="center"/>
                    <w:rPr>
                      <w:rFonts w:ascii="宋体" w:hAnsi="宋体" w:eastAsia="宋体"/>
                      <w:sz w:val="18"/>
                      <w:szCs w:val="18"/>
                      <w:u w:val="single"/>
                    </w:rPr>
                  </w:pPr>
                </w:p>
              </w:tc>
            </w:tr>
            <w:tr w14:paraId="14F66BBF">
              <w:tblPrEx>
                <w:tblCellMar>
                  <w:top w:w="0" w:type="dxa"/>
                  <w:left w:w="28" w:type="dxa"/>
                  <w:bottom w:w="0" w:type="dxa"/>
                  <w:right w:w="28" w:type="dxa"/>
                </w:tblCellMar>
              </w:tblPrEx>
              <w:trPr>
                <w:trHeight w:val="20" w:hRule="atLeast"/>
              </w:trPr>
              <w:tc>
                <w:tcPr>
                  <w:tcW w:w="286" w:type="dxa"/>
                  <w:tcBorders>
                    <w:top w:val="single" w:color="auto" w:sz="4" w:space="0"/>
                    <w:left w:val="single" w:color="auto" w:sz="8" w:space="0"/>
                    <w:bottom w:val="single" w:color="auto" w:sz="4" w:space="0"/>
                    <w:right w:val="single" w:color="auto" w:sz="4" w:space="0"/>
                  </w:tcBorders>
                  <w:noWrap/>
                  <w:vAlign w:val="center"/>
                </w:tcPr>
                <w:p w14:paraId="1DFB7D94">
                  <w:pPr>
                    <w:spacing w:line="240" w:lineRule="auto"/>
                    <w:jc w:val="center"/>
                    <w:rPr>
                      <w:rFonts w:ascii="宋体" w:hAnsi="宋体" w:eastAsia="宋体"/>
                      <w:sz w:val="18"/>
                      <w:szCs w:val="18"/>
                    </w:rPr>
                  </w:pPr>
                  <w:r>
                    <w:rPr>
                      <w:rFonts w:ascii="宋体" w:hAnsi="宋体" w:eastAsia="宋体"/>
                      <w:sz w:val="18"/>
                      <w:szCs w:val="18"/>
                    </w:rPr>
                    <w:t>功能</w:t>
                  </w:r>
                  <w:r>
                    <w:rPr>
                      <w:rFonts w:ascii="宋体" w:hAnsi="宋体" w:eastAsia="宋体"/>
                      <w:sz w:val="18"/>
                      <w:szCs w:val="18"/>
                    </w:rPr>
                    <w:br w:type="textWrapping"/>
                  </w:r>
                  <w:r>
                    <w:rPr>
                      <w:rFonts w:ascii="宋体" w:hAnsi="宋体" w:eastAsia="宋体"/>
                      <w:sz w:val="18"/>
                      <w:szCs w:val="18"/>
                    </w:rPr>
                    <w:t>检查</w:t>
                  </w:r>
                </w:p>
              </w:tc>
              <w:tc>
                <w:tcPr>
                  <w:tcW w:w="1260" w:type="dxa"/>
                  <w:tcBorders>
                    <w:top w:val="single" w:color="auto" w:sz="4" w:space="0"/>
                    <w:left w:val="single" w:color="auto" w:sz="4" w:space="0"/>
                    <w:bottom w:val="single" w:color="auto" w:sz="4" w:space="0"/>
                    <w:right w:val="single" w:color="auto" w:sz="8" w:space="0"/>
                  </w:tcBorders>
                  <w:vAlign w:val="center"/>
                </w:tcPr>
                <w:p w14:paraId="540D56FB">
                  <w:pPr>
                    <w:spacing w:line="240" w:lineRule="auto"/>
                    <w:jc w:val="center"/>
                    <w:rPr>
                      <w:rFonts w:ascii="宋体" w:hAnsi="宋体" w:eastAsia="宋体"/>
                      <w:sz w:val="18"/>
                      <w:szCs w:val="18"/>
                    </w:rPr>
                  </w:pPr>
                  <w:r>
                    <w:rPr>
                      <w:rFonts w:ascii="宋体" w:hAnsi="宋体" w:eastAsia="宋体"/>
                      <w:sz w:val="18"/>
                      <w:szCs w:val="18"/>
                    </w:rPr>
                    <w:t>肺功能检查室、电生理检查室、超声检查室</w:t>
                  </w:r>
                </w:p>
              </w:tc>
              <w:tc>
                <w:tcPr>
                  <w:tcW w:w="240" w:type="dxa"/>
                  <w:tcBorders>
                    <w:top w:val="single" w:color="auto" w:sz="4" w:space="0"/>
                    <w:left w:val="single" w:color="auto" w:sz="8" w:space="0"/>
                    <w:bottom w:val="single" w:color="auto" w:sz="4" w:space="0"/>
                    <w:right w:val="single" w:color="auto" w:sz="4" w:space="0"/>
                  </w:tcBorders>
                  <w:vAlign w:val="center"/>
                </w:tcPr>
                <w:p w14:paraId="1ECEB3B7">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7AD12B13">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456E6F90">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38BAC44D">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0098168">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37B65EE7">
                  <w:pPr>
                    <w:spacing w:line="240" w:lineRule="auto"/>
                    <w:jc w:val="center"/>
                    <w:rPr>
                      <w:rFonts w:ascii="宋体" w:hAnsi="宋体" w:eastAsia="宋体"/>
                      <w:sz w:val="18"/>
                      <w:szCs w:val="18"/>
                    </w:rPr>
                  </w:pPr>
                  <w:r>
                    <w:rPr>
                      <w:rFonts w:ascii="宋体" w:hAnsi="宋体" w:eastAsia="宋体"/>
                      <w:sz w:val="18"/>
                      <w:szCs w:val="18"/>
                      <w:u w:val="single"/>
                    </w:rPr>
                    <w:t>X</w:t>
                  </w:r>
                </w:p>
              </w:tc>
              <w:tc>
                <w:tcPr>
                  <w:tcW w:w="264" w:type="dxa"/>
                  <w:tcBorders>
                    <w:top w:val="single" w:color="auto" w:sz="4" w:space="0"/>
                    <w:left w:val="single" w:color="auto" w:sz="8" w:space="0"/>
                    <w:bottom w:val="single" w:color="auto" w:sz="4" w:space="0"/>
                    <w:right w:val="single" w:color="auto" w:sz="4" w:space="0"/>
                  </w:tcBorders>
                  <w:vAlign w:val="center"/>
                </w:tcPr>
                <w:p w14:paraId="6A63A1F3">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0B48E5E9">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06A8CE13">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64ACAB3E">
              <w:tblPrEx>
                <w:tblCellMar>
                  <w:top w:w="0" w:type="dxa"/>
                  <w:left w:w="28" w:type="dxa"/>
                  <w:bottom w:w="0" w:type="dxa"/>
                  <w:right w:w="28" w:type="dxa"/>
                </w:tblCellMar>
              </w:tblPrEx>
              <w:trPr>
                <w:trHeight w:val="20" w:hRule="atLeast"/>
              </w:trPr>
              <w:tc>
                <w:tcPr>
                  <w:tcW w:w="286" w:type="dxa"/>
                  <w:tcBorders>
                    <w:top w:val="single" w:color="auto" w:sz="4" w:space="0"/>
                    <w:left w:val="single" w:color="auto" w:sz="8" w:space="0"/>
                    <w:bottom w:val="single" w:color="auto" w:sz="4" w:space="0"/>
                    <w:right w:val="single" w:color="auto" w:sz="4" w:space="0"/>
                  </w:tcBorders>
                  <w:noWrap/>
                  <w:vAlign w:val="center"/>
                </w:tcPr>
                <w:p w14:paraId="4C9044BE">
                  <w:pPr>
                    <w:spacing w:line="240" w:lineRule="auto"/>
                    <w:jc w:val="center"/>
                    <w:rPr>
                      <w:rFonts w:ascii="宋体" w:hAnsi="宋体" w:eastAsia="宋体"/>
                      <w:sz w:val="18"/>
                      <w:szCs w:val="18"/>
                    </w:rPr>
                  </w:pPr>
                  <w:r>
                    <w:rPr>
                      <w:rFonts w:ascii="宋体" w:hAnsi="宋体" w:eastAsia="宋体"/>
                      <w:sz w:val="18"/>
                      <w:szCs w:val="18"/>
                    </w:rPr>
                    <w:t>内镜</w:t>
                  </w:r>
                </w:p>
              </w:tc>
              <w:tc>
                <w:tcPr>
                  <w:tcW w:w="1260" w:type="dxa"/>
                  <w:tcBorders>
                    <w:top w:val="single" w:color="auto" w:sz="4" w:space="0"/>
                    <w:left w:val="single" w:color="auto" w:sz="4" w:space="0"/>
                    <w:bottom w:val="single" w:color="auto" w:sz="4" w:space="0"/>
                    <w:right w:val="single" w:color="auto" w:sz="8" w:space="0"/>
                  </w:tcBorders>
                  <w:vAlign w:val="center"/>
                </w:tcPr>
                <w:p w14:paraId="55AA1C5E">
                  <w:pPr>
                    <w:spacing w:line="240" w:lineRule="auto"/>
                    <w:jc w:val="center"/>
                    <w:rPr>
                      <w:rFonts w:ascii="宋体" w:hAnsi="宋体" w:eastAsia="宋体"/>
                      <w:sz w:val="18"/>
                      <w:szCs w:val="18"/>
                    </w:rPr>
                  </w:pPr>
                  <w:r>
                    <w:rPr>
                      <w:rFonts w:ascii="宋体" w:hAnsi="宋体" w:eastAsia="宋体"/>
                      <w:sz w:val="18"/>
                      <w:szCs w:val="18"/>
                    </w:rPr>
                    <w:t>内镜检查室</w:t>
                  </w:r>
                </w:p>
              </w:tc>
              <w:tc>
                <w:tcPr>
                  <w:tcW w:w="240" w:type="dxa"/>
                  <w:tcBorders>
                    <w:top w:val="single" w:color="auto" w:sz="4" w:space="0"/>
                    <w:left w:val="single" w:color="auto" w:sz="8" w:space="0"/>
                    <w:bottom w:val="single" w:color="auto" w:sz="4" w:space="0"/>
                    <w:right w:val="single" w:color="auto" w:sz="4" w:space="0"/>
                  </w:tcBorders>
                  <w:vAlign w:val="center"/>
                </w:tcPr>
                <w:p w14:paraId="7A0F18D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3038D004">
                  <w:pPr>
                    <w:spacing w:line="240" w:lineRule="auto"/>
                    <w:jc w:val="center"/>
                    <w:rPr>
                      <w:rFonts w:ascii="宋体" w:hAnsi="宋体" w:eastAsia="宋体"/>
                      <w:sz w:val="18"/>
                      <w:szCs w:val="18"/>
                    </w:rPr>
                  </w:pPr>
                  <w:r>
                    <w:rPr>
                      <w:rFonts w:ascii="宋体" w:hAnsi="宋体" w:eastAsia="宋体"/>
                      <w:sz w:val="18"/>
                      <w:szCs w:val="18"/>
                    </w:rPr>
                    <w:t>Xb</w:t>
                  </w:r>
                </w:p>
              </w:tc>
              <w:tc>
                <w:tcPr>
                  <w:tcW w:w="240" w:type="dxa"/>
                  <w:tcBorders>
                    <w:top w:val="single" w:color="auto" w:sz="4" w:space="0"/>
                    <w:left w:val="single" w:color="auto" w:sz="4" w:space="0"/>
                    <w:bottom w:val="single" w:color="auto" w:sz="4" w:space="0"/>
                    <w:right w:val="single" w:color="auto" w:sz="8" w:space="0"/>
                  </w:tcBorders>
                  <w:vAlign w:val="center"/>
                </w:tcPr>
                <w:p w14:paraId="0E90F01D">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69584706">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AA99DBF">
                  <w:pPr>
                    <w:spacing w:line="240" w:lineRule="auto"/>
                    <w:jc w:val="center"/>
                    <w:rPr>
                      <w:rFonts w:ascii="宋体" w:hAnsi="宋体" w:eastAsia="宋体"/>
                      <w:sz w:val="18"/>
                      <w:szCs w:val="18"/>
                    </w:rPr>
                  </w:pPr>
                  <w:r>
                    <w:rPr>
                      <w:rFonts w:ascii="宋体" w:hAnsi="宋体" w:eastAsia="宋体"/>
                      <w:sz w:val="18"/>
                      <w:szCs w:val="18"/>
                    </w:rPr>
                    <w:t>Xb</w:t>
                  </w:r>
                </w:p>
              </w:tc>
              <w:tc>
                <w:tcPr>
                  <w:tcW w:w="322" w:type="dxa"/>
                  <w:tcBorders>
                    <w:top w:val="single" w:color="auto" w:sz="4" w:space="0"/>
                    <w:left w:val="single" w:color="auto" w:sz="4" w:space="0"/>
                    <w:bottom w:val="single" w:color="auto" w:sz="4" w:space="0"/>
                    <w:right w:val="single" w:color="auto" w:sz="8" w:space="0"/>
                  </w:tcBorders>
                  <w:vAlign w:val="center"/>
                </w:tcPr>
                <w:p w14:paraId="5815B028">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313CD77">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39BE2D64">
                  <w:pPr>
                    <w:spacing w:line="240" w:lineRule="auto"/>
                    <w:jc w:val="center"/>
                    <w:rPr>
                      <w:rFonts w:ascii="宋体" w:hAnsi="宋体" w:eastAsia="宋体"/>
                      <w:sz w:val="18"/>
                      <w:szCs w:val="18"/>
                      <w:u w:val="single"/>
                    </w:rPr>
                  </w:pPr>
                  <w:r>
                    <w:rPr>
                      <w:rFonts w:ascii="宋体" w:hAnsi="宋体" w:eastAsia="宋体"/>
                      <w:sz w:val="18"/>
                      <w:szCs w:val="18"/>
                      <w:u w:val="single"/>
                    </w:rPr>
                    <w:t>Xb</w:t>
                  </w:r>
                </w:p>
              </w:tc>
              <w:tc>
                <w:tcPr>
                  <w:tcW w:w="265" w:type="dxa"/>
                  <w:tcBorders>
                    <w:top w:val="single" w:color="auto" w:sz="4" w:space="0"/>
                    <w:left w:val="single" w:color="auto" w:sz="4" w:space="0"/>
                    <w:bottom w:val="single" w:color="auto" w:sz="4" w:space="0"/>
                    <w:right w:val="single" w:color="auto" w:sz="8" w:space="0"/>
                  </w:tcBorders>
                  <w:vAlign w:val="center"/>
                </w:tcPr>
                <w:p w14:paraId="4FE02307">
                  <w:pPr>
                    <w:spacing w:line="240" w:lineRule="auto"/>
                    <w:jc w:val="center"/>
                    <w:rPr>
                      <w:rFonts w:ascii="宋体" w:hAnsi="宋体" w:eastAsia="宋体"/>
                      <w:sz w:val="18"/>
                      <w:szCs w:val="18"/>
                      <w:u w:val="single"/>
                    </w:rPr>
                  </w:pPr>
                </w:p>
              </w:tc>
            </w:tr>
            <w:tr w14:paraId="322FBDC2">
              <w:tblPrEx>
                <w:tblCellMar>
                  <w:top w:w="0" w:type="dxa"/>
                  <w:left w:w="28" w:type="dxa"/>
                  <w:bottom w:w="0" w:type="dxa"/>
                  <w:right w:w="28" w:type="dxa"/>
                </w:tblCellMar>
              </w:tblPrEx>
              <w:trPr>
                <w:trHeight w:val="20" w:hRule="atLeast"/>
              </w:trPr>
              <w:tc>
                <w:tcPr>
                  <w:tcW w:w="286" w:type="dxa"/>
                  <w:tcBorders>
                    <w:top w:val="single" w:color="auto" w:sz="4" w:space="0"/>
                    <w:left w:val="single" w:color="auto" w:sz="8" w:space="0"/>
                    <w:bottom w:val="single" w:color="auto" w:sz="4" w:space="0"/>
                    <w:right w:val="single" w:color="auto" w:sz="4" w:space="0"/>
                  </w:tcBorders>
                  <w:noWrap/>
                  <w:vAlign w:val="center"/>
                </w:tcPr>
                <w:p w14:paraId="4F325259">
                  <w:pPr>
                    <w:spacing w:line="240" w:lineRule="auto"/>
                    <w:jc w:val="center"/>
                    <w:rPr>
                      <w:rFonts w:ascii="宋体" w:hAnsi="宋体" w:eastAsia="宋体"/>
                      <w:sz w:val="18"/>
                      <w:szCs w:val="18"/>
                    </w:rPr>
                  </w:pPr>
                  <w:r>
                    <w:rPr>
                      <w:rFonts w:hint="eastAsia" w:ascii="宋体" w:hAnsi="宋体" w:eastAsia="宋体"/>
                      <w:sz w:val="18"/>
                      <w:szCs w:val="18"/>
                    </w:rPr>
                    <w:t>泌尿科</w:t>
                  </w:r>
                </w:p>
              </w:tc>
              <w:tc>
                <w:tcPr>
                  <w:tcW w:w="1260" w:type="dxa"/>
                  <w:tcBorders>
                    <w:top w:val="single" w:color="auto" w:sz="4" w:space="0"/>
                    <w:left w:val="single" w:color="auto" w:sz="4" w:space="0"/>
                    <w:bottom w:val="single" w:color="auto" w:sz="4" w:space="0"/>
                    <w:right w:val="single" w:color="auto" w:sz="8" w:space="0"/>
                  </w:tcBorders>
                  <w:vAlign w:val="center"/>
                </w:tcPr>
                <w:p w14:paraId="588DFE97">
                  <w:pPr>
                    <w:spacing w:line="240" w:lineRule="auto"/>
                    <w:jc w:val="center"/>
                    <w:rPr>
                      <w:rFonts w:ascii="宋体" w:hAnsi="宋体" w:eastAsia="宋体"/>
                      <w:sz w:val="18"/>
                      <w:szCs w:val="18"/>
                    </w:rPr>
                  </w:pPr>
                  <w:r>
                    <w:rPr>
                      <w:rFonts w:ascii="宋体" w:hAnsi="宋体" w:eastAsia="宋体"/>
                      <w:sz w:val="18"/>
                      <w:szCs w:val="18"/>
                    </w:rPr>
                    <w:t>泌尿科</w:t>
                  </w:r>
                  <w:r>
                    <w:rPr>
                      <w:rFonts w:hint="eastAsia" w:ascii="宋体" w:hAnsi="宋体" w:eastAsia="宋体"/>
                      <w:sz w:val="18"/>
                      <w:szCs w:val="18"/>
                    </w:rPr>
                    <w:t>治疗室</w:t>
                  </w:r>
                </w:p>
              </w:tc>
              <w:tc>
                <w:tcPr>
                  <w:tcW w:w="240" w:type="dxa"/>
                  <w:tcBorders>
                    <w:top w:val="single" w:color="auto" w:sz="4" w:space="0"/>
                    <w:left w:val="single" w:color="auto" w:sz="8" w:space="0"/>
                    <w:bottom w:val="single" w:color="auto" w:sz="4" w:space="0"/>
                    <w:right w:val="single" w:color="auto" w:sz="4" w:space="0"/>
                  </w:tcBorders>
                  <w:vAlign w:val="center"/>
                </w:tcPr>
                <w:p w14:paraId="5A6CD40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C0EDCF9">
                  <w:pPr>
                    <w:spacing w:line="240" w:lineRule="auto"/>
                    <w:jc w:val="center"/>
                    <w:rPr>
                      <w:rFonts w:ascii="宋体" w:hAnsi="宋体" w:eastAsia="宋体"/>
                      <w:sz w:val="18"/>
                      <w:szCs w:val="18"/>
                    </w:rPr>
                  </w:pPr>
                  <w:r>
                    <w:rPr>
                      <w:rFonts w:ascii="宋体" w:hAnsi="宋体" w:eastAsia="宋体"/>
                      <w:sz w:val="18"/>
                      <w:szCs w:val="18"/>
                    </w:rPr>
                    <w:t>Xb</w:t>
                  </w:r>
                </w:p>
              </w:tc>
              <w:tc>
                <w:tcPr>
                  <w:tcW w:w="240" w:type="dxa"/>
                  <w:tcBorders>
                    <w:top w:val="single" w:color="auto" w:sz="4" w:space="0"/>
                    <w:left w:val="single" w:color="auto" w:sz="4" w:space="0"/>
                    <w:bottom w:val="single" w:color="auto" w:sz="4" w:space="0"/>
                    <w:right w:val="single" w:color="auto" w:sz="8" w:space="0"/>
                  </w:tcBorders>
                  <w:vAlign w:val="center"/>
                </w:tcPr>
                <w:p w14:paraId="013FFA6D">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0E76E365">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01FE4B39">
                  <w:pPr>
                    <w:spacing w:line="240" w:lineRule="auto"/>
                    <w:jc w:val="center"/>
                    <w:rPr>
                      <w:rFonts w:ascii="宋体" w:hAnsi="宋体" w:eastAsia="宋体"/>
                      <w:sz w:val="18"/>
                      <w:szCs w:val="18"/>
                    </w:rPr>
                  </w:pPr>
                  <w:r>
                    <w:rPr>
                      <w:rFonts w:ascii="宋体" w:hAnsi="宋体" w:eastAsia="宋体"/>
                      <w:sz w:val="18"/>
                      <w:szCs w:val="18"/>
                    </w:rPr>
                    <w:t>Xb</w:t>
                  </w:r>
                </w:p>
              </w:tc>
              <w:tc>
                <w:tcPr>
                  <w:tcW w:w="322" w:type="dxa"/>
                  <w:tcBorders>
                    <w:top w:val="single" w:color="auto" w:sz="4" w:space="0"/>
                    <w:left w:val="single" w:color="auto" w:sz="4" w:space="0"/>
                    <w:bottom w:val="single" w:color="auto" w:sz="4" w:space="0"/>
                    <w:right w:val="single" w:color="auto" w:sz="8" w:space="0"/>
                  </w:tcBorders>
                  <w:vAlign w:val="center"/>
                </w:tcPr>
                <w:p w14:paraId="13988B29">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E1F5DA1">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7457C563">
                  <w:pPr>
                    <w:spacing w:line="240" w:lineRule="auto"/>
                    <w:jc w:val="center"/>
                    <w:rPr>
                      <w:rFonts w:ascii="宋体" w:hAnsi="宋体" w:eastAsia="宋体"/>
                      <w:sz w:val="18"/>
                      <w:szCs w:val="18"/>
                      <w:u w:val="single"/>
                    </w:rPr>
                  </w:pPr>
                  <w:r>
                    <w:rPr>
                      <w:rFonts w:ascii="宋体" w:hAnsi="宋体" w:eastAsia="宋体"/>
                      <w:sz w:val="18"/>
                      <w:szCs w:val="18"/>
                      <w:u w:val="single"/>
                    </w:rPr>
                    <w:t>Xb</w:t>
                  </w:r>
                </w:p>
              </w:tc>
              <w:tc>
                <w:tcPr>
                  <w:tcW w:w="265" w:type="dxa"/>
                  <w:tcBorders>
                    <w:top w:val="single" w:color="auto" w:sz="4" w:space="0"/>
                    <w:left w:val="single" w:color="auto" w:sz="4" w:space="0"/>
                    <w:bottom w:val="single" w:color="auto" w:sz="4" w:space="0"/>
                    <w:right w:val="single" w:color="auto" w:sz="8" w:space="0"/>
                  </w:tcBorders>
                  <w:vAlign w:val="center"/>
                </w:tcPr>
                <w:p w14:paraId="663C4BAB">
                  <w:pPr>
                    <w:spacing w:line="240" w:lineRule="auto"/>
                    <w:jc w:val="center"/>
                    <w:rPr>
                      <w:rFonts w:ascii="宋体" w:hAnsi="宋体" w:eastAsia="宋体"/>
                      <w:sz w:val="18"/>
                      <w:szCs w:val="18"/>
                      <w:u w:val="single"/>
                    </w:rPr>
                  </w:pPr>
                </w:p>
              </w:tc>
            </w:tr>
            <w:tr w14:paraId="6AA54B09">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6C8F7EC3">
                  <w:pPr>
                    <w:spacing w:line="240" w:lineRule="auto"/>
                    <w:jc w:val="center"/>
                    <w:rPr>
                      <w:rFonts w:ascii="宋体" w:hAnsi="宋体" w:eastAsia="宋体"/>
                      <w:sz w:val="18"/>
                      <w:szCs w:val="18"/>
                    </w:rPr>
                  </w:pPr>
                  <w:r>
                    <w:rPr>
                      <w:rFonts w:hint="eastAsia" w:ascii="宋体" w:hAnsi="宋体" w:eastAsia="宋体"/>
                      <w:sz w:val="18"/>
                      <w:szCs w:val="18"/>
                      <w:u w:val="single"/>
                    </w:rPr>
                    <w:t>放射</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57FEDD06">
                  <w:pPr>
                    <w:spacing w:line="240" w:lineRule="auto"/>
                    <w:jc w:val="center"/>
                    <w:rPr>
                      <w:rFonts w:ascii="宋体" w:hAnsi="宋体" w:eastAsia="宋体"/>
                      <w:sz w:val="18"/>
                      <w:szCs w:val="18"/>
                    </w:rPr>
                  </w:pPr>
                  <w:r>
                    <w:rPr>
                      <w:rFonts w:ascii="宋体" w:hAnsi="宋体" w:eastAsia="宋体"/>
                      <w:sz w:val="18"/>
                      <w:szCs w:val="18"/>
                    </w:rPr>
                    <w:t>DR诊断室、CR诊断室、CT诊断室</w:t>
                  </w:r>
                </w:p>
              </w:tc>
              <w:tc>
                <w:tcPr>
                  <w:tcW w:w="240" w:type="dxa"/>
                  <w:tcBorders>
                    <w:top w:val="single" w:color="auto" w:sz="4" w:space="0"/>
                    <w:left w:val="single" w:color="auto" w:sz="8" w:space="0"/>
                    <w:bottom w:val="single" w:color="auto" w:sz="4" w:space="0"/>
                    <w:right w:val="single" w:color="auto" w:sz="4" w:space="0"/>
                  </w:tcBorders>
                  <w:vAlign w:val="center"/>
                </w:tcPr>
                <w:p w14:paraId="67721574">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EAE0106">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1469FCA7">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410E525B">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5D7A5608">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39435D1A">
                  <w:pPr>
                    <w:spacing w:line="240" w:lineRule="auto"/>
                    <w:jc w:val="center"/>
                    <w:rPr>
                      <w:rFonts w:ascii="宋体" w:hAnsi="宋体" w:eastAsia="宋体"/>
                      <w:sz w:val="18"/>
                      <w:szCs w:val="18"/>
                    </w:rPr>
                  </w:pPr>
                  <w:r>
                    <w:rPr>
                      <w:rFonts w:ascii="宋体" w:hAnsi="宋体" w:eastAsia="宋体"/>
                      <w:sz w:val="18"/>
                      <w:szCs w:val="18"/>
                      <w:u w:val="single"/>
                    </w:rPr>
                    <w:t>X</w:t>
                  </w:r>
                </w:p>
              </w:tc>
              <w:tc>
                <w:tcPr>
                  <w:tcW w:w="264" w:type="dxa"/>
                  <w:tcBorders>
                    <w:top w:val="single" w:color="auto" w:sz="4" w:space="0"/>
                    <w:left w:val="single" w:color="auto" w:sz="8" w:space="0"/>
                    <w:bottom w:val="single" w:color="auto" w:sz="4" w:space="0"/>
                    <w:right w:val="single" w:color="auto" w:sz="4" w:space="0"/>
                  </w:tcBorders>
                  <w:vAlign w:val="center"/>
                </w:tcPr>
                <w:p w14:paraId="6857935F">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02BD970E">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3E58AB02">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79808969">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23C8AE8">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47A9E309">
                  <w:pPr>
                    <w:spacing w:line="240" w:lineRule="auto"/>
                    <w:jc w:val="center"/>
                    <w:rPr>
                      <w:rFonts w:ascii="宋体" w:hAnsi="宋体" w:eastAsia="宋体"/>
                      <w:sz w:val="18"/>
                      <w:szCs w:val="18"/>
                    </w:rPr>
                  </w:pPr>
                  <w:r>
                    <w:rPr>
                      <w:rFonts w:ascii="宋体" w:hAnsi="宋体" w:eastAsia="宋体"/>
                      <w:sz w:val="18"/>
                      <w:szCs w:val="18"/>
                    </w:rPr>
                    <w:t>导管介入室</w:t>
                  </w:r>
                </w:p>
              </w:tc>
              <w:tc>
                <w:tcPr>
                  <w:tcW w:w="240" w:type="dxa"/>
                  <w:tcBorders>
                    <w:top w:val="single" w:color="auto" w:sz="4" w:space="0"/>
                    <w:left w:val="single" w:color="auto" w:sz="8" w:space="0"/>
                    <w:bottom w:val="single" w:color="auto" w:sz="4" w:space="0"/>
                    <w:right w:val="single" w:color="auto" w:sz="4" w:space="0"/>
                  </w:tcBorders>
                  <w:vAlign w:val="center"/>
                </w:tcPr>
                <w:p w14:paraId="5B77BAAB">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B410944">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290D32B2">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321" w:type="dxa"/>
                  <w:tcBorders>
                    <w:top w:val="single" w:color="auto" w:sz="4" w:space="0"/>
                    <w:left w:val="single" w:color="auto" w:sz="8" w:space="0"/>
                    <w:bottom w:val="single" w:color="auto" w:sz="4" w:space="0"/>
                    <w:right w:val="single" w:color="auto" w:sz="4" w:space="0"/>
                  </w:tcBorders>
                  <w:vAlign w:val="center"/>
                </w:tcPr>
                <w:p w14:paraId="7A5EAAF5">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322" w:type="dxa"/>
                  <w:tcBorders>
                    <w:top w:val="single" w:color="auto" w:sz="4" w:space="0"/>
                    <w:left w:val="single" w:color="auto" w:sz="4" w:space="0"/>
                    <w:bottom w:val="single" w:color="auto" w:sz="4" w:space="0"/>
                    <w:right w:val="single" w:color="auto" w:sz="4" w:space="0"/>
                  </w:tcBorders>
                  <w:vAlign w:val="center"/>
                </w:tcPr>
                <w:p w14:paraId="1CD1601C">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2760C340">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62F471D">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1EC80DB6">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7BC2C15A">
                  <w:pPr>
                    <w:spacing w:line="240" w:lineRule="auto"/>
                    <w:jc w:val="center"/>
                    <w:rPr>
                      <w:rFonts w:ascii="宋体" w:hAnsi="宋体" w:eastAsia="宋体"/>
                      <w:sz w:val="18"/>
                      <w:szCs w:val="18"/>
                      <w:u w:val="single"/>
                    </w:rPr>
                  </w:pPr>
                </w:p>
              </w:tc>
            </w:tr>
            <w:tr w14:paraId="1230F54E">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3247AC1">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39861076">
                  <w:pPr>
                    <w:spacing w:line="240" w:lineRule="auto"/>
                    <w:jc w:val="center"/>
                    <w:rPr>
                      <w:rFonts w:ascii="宋体" w:hAnsi="宋体" w:eastAsia="宋体"/>
                      <w:sz w:val="18"/>
                      <w:szCs w:val="18"/>
                    </w:rPr>
                  </w:pPr>
                  <w:r>
                    <w:rPr>
                      <w:rFonts w:ascii="宋体" w:hAnsi="宋体" w:eastAsia="宋体"/>
                      <w:sz w:val="18"/>
                      <w:szCs w:val="18"/>
                    </w:rPr>
                    <w:t>心血管造影检查室</w:t>
                  </w:r>
                </w:p>
              </w:tc>
              <w:tc>
                <w:tcPr>
                  <w:tcW w:w="240" w:type="dxa"/>
                  <w:tcBorders>
                    <w:top w:val="single" w:color="auto" w:sz="4" w:space="0"/>
                    <w:left w:val="single" w:color="auto" w:sz="8" w:space="0"/>
                    <w:bottom w:val="single" w:color="auto" w:sz="4" w:space="0"/>
                    <w:right w:val="single" w:color="auto" w:sz="4" w:space="0"/>
                  </w:tcBorders>
                  <w:vAlign w:val="center"/>
                </w:tcPr>
                <w:p w14:paraId="67324A3E">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0F572264">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1CCEFF17">
                  <w:pPr>
                    <w:spacing w:line="240" w:lineRule="auto"/>
                    <w:jc w:val="center"/>
                    <w:rPr>
                      <w:rFonts w:ascii="宋体" w:hAnsi="宋体" w:eastAsia="宋体"/>
                      <w:sz w:val="18"/>
                      <w:szCs w:val="18"/>
                    </w:rPr>
                  </w:pPr>
                  <w:r>
                    <w:rPr>
                      <w:rFonts w:ascii="宋体" w:hAnsi="宋体" w:eastAsia="宋体"/>
                      <w:sz w:val="18"/>
                      <w:szCs w:val="18"/>
                    </w:rPr>
                    <w:t>X</w:t>
                  </w:r>
                </w:p>
              </w:tc>
              <w:tc>
                <w:tcPr>
                  <w:tcW w:w="321" w:type="dxa"/>
                  <w:tcBorders>
                    <w:top w:val="single" w:color="auto" w:sz="4" w:space="0"/>
                    <w:left w:val="single" w:color="auto" w:sz="8" w:space="0"/>
                    <w:bottom w:val="single" w:color="auto" w:sz="4" w:space="0"/>
                    <w:right w:val="single" w:color="auto" w:sz="4" w:space="0"/>
                  </w:tcBorders>
                  <w:vAlign w:val="center"/>
                </w:tcPr>
                <w:p w14:paraId="4C1CE800">
                  <w:pPr>
                    <w:spacing w:line="240" w:lineRule="auto"/>
                    <w:jc w:val="center"/>
                    <w:rPr>
                      <w:rFonts w:ascii="宋体" w:hAnsi="宋体" w:eastAsia="宋体"/>
                      <w:sz w:val="18"/>
                      <w:szCs w:val="18"/>
                    </w:rPr>
                  </w:pPr>
                  <w:r>
                    <w:rPr>
                      <w:rFonts w:ascii="宋体" w:hAnsi="宋体" w:eastAsia="宋体"/>
                      <w:sz w:val="18"/>
                      <w:szCs w:val="18"/>
                    </w:rPr>
                    <w:t>Xa</w:t>
                  </w:r>
                </w:p>
              </w:tc>
              <w:tc>
                <w:tcPr>
                  <w:tcW w:w="322" w:type="dxa"/>
                  <w:tcBorders>
                    <w:top w:val="single" w:color="auto" w:sz="4" w:space="0"/>
                    <w:left w:val="single" w:color="auto" w:sz="4" w:space="0"/>
                    <w:bottom w:val="single" w:color="auto" w:sz="4" w:space="0"/>
                    <w:right w:val="single" w:color="auto" w:sz="4" w:space="0"/>
                  </w:tcBorders>
                  <w:vAlign w:val="center"/>
                </w:tcPr>
                <w:p w14:paraId="0BFD2F41">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0B0A8FA2">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2F34E41D">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1B1FF119">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33710747">
                  <w:pPr>
                    <w:spacing w:line="240" w:lineRule="auto"/>
                    <w:jc w:val="center"/>
                    <w:rPr>
                      <w:rFonts w:ascii="宋体" w:hAnsi="宋体" w:eastAsia="宋体"/>
                      <w:sz w:val="18"/>
                      <w:szCs w:val="18"/>
                      <w:u w:val="single"/>
                    </w:rPr>
                  </w:pPr>
                </w:p>
              </w:tc>
            </w:tr>
            <w:tr w14:paraId="048D7E85">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B3F61E3">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499B3647">
                  <w:pPr>
                    <w:spacing w:line="240" w:lineRule="auto"/>
                    <w:jc w:val="center"/>
                    <w:rPr>
                      <w:rFonts w:ascii="宋体" w:hAnsi="宋体" w:eastAsia="宋体"/>
                      <w:sz w:val="18"/>
                      <w:szCs w:val="18"/>
                    </w:rPr>
                  </w:pPr>
                  <w:r>
                    <w:rPr>
                      <w:rFonts w:ascii="宋体" w:hAnsi="宋体" w:eastAsia="宋体"/>
                      <w:sz w:val="18"/>
                      <w:szCs w:val="18"/>
                    </w:rPr>
                    <w:t>MRI扫描室</w:t>
                  </w:r>
                </w:p>
              </w:tc>
              <w:tc>
                <w:tcPr>
                  <w:tcW w:w="240" w:type="dxa"/>
                  <w:tcBorders>
                    <w:top w:val="single" w:color="auto" w:sz="4" w:space="0"/>
                    <w:left w:val="single" w:color="auto" w:sz="8" w:space="0"/>
                    <w:bottom w:val="single" w:color="auto" w:sz="4" w:space="0"/>
                    <w:right w:val="single" w:color="auto" w:sz="4" w:space="0"/>
                  </w:tcBorders>
                  <w:vAlign w:val="center"/>
                </w:tcPr>
                <w:p w14:paraId="627E228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1BFF5BA1">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2E6AE703">
                  <w:pPr>
                    <w:spacing w:line="240" w:lineRule="auto"/>
                    <w:jc w:val="center"/>
                    <w:rPr>
                      <w:rFonts w:ascii="宋体" w:hAnsi="宋体" w:eastAsia="宋体"/>
                      <w:sz w:val="18"/>
                      <w:szCs w:val="18"/>
                      <w:u w:val="single"/>
                    </w:rPr>
                  </w:pPr>
                </w:p>
              </w:tc>
              <w:tc>
                <w:tcPr>
                  <w:tcW w:w="321" w:type="dxa"/>
                  <w:tcBorders>
                    <w:top w:val="single" w:color="auto" w:sz="4" w:space="0"/>
                    <w:left w:val="single" w:color="auto" w:sz="8" w:space="0"/>
                    <w:bottom w:val="single" w:color="auto" w:sz="4" w:space="0"/>
                    <w:right w:val="single" w:color="auto" w:sz="4" w:space="0"/>
                  </w:tcBorders>
                  <w:vAlign w:val="center"/>
                </w:tcPr>
                <w:p w14:paraId="562D286B">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322" w:type="dxa"/>
                  <w:tcBorders>
                    <w:top w:val="single" w:color="auto" w:sz="4" w:space="0"/>
                    <w:left w:val="single" w:color="auto" w:sz="4" w:space="0"/>
                    <w:bottom w:val="single" w:color="auto" w:sz="4" w:space="0"/>
                    <w:right w:val="single" w:color="auto" w:sz="4" w:space="0"/>
                  </w:tcBorders>
                  <w:vAlign w:val="center"/>
                </w:tcPr>
                <w:p w14:paraId="1D7471E8">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17428D60">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6F366946">
                  <w:pPr>
                    <w:spacing w:line="240" w:lineRule="auto"/>
                    <w:jc w:val="center"/>
                    <w:rPr>
                      <w:rFonts w:ascii="宋体" w:hAnsi="宋体" w:eastAsia="宋体"/>
                      <w:sz w:val="18"/>
                      <w:szCs w:val="18"/>
                      <w:u w:val="single"/>
                    </w:rPr>
                  </w:pPr>
                  <w:r>
                    <w:rPr>
                      <w:rFonts w:ascii="宋体" w:hAnsi="宋体" w:eastAsia="宋体"/>
                      <w:sz w:val="18"/>
                      <w:szCs w:val="18"/>
                      <w:u w:val="single"/>
                    </w:rPr>
                    <w:t>Xa</w:t>
                  </w:r>
                </w:p>
              </w:tc>
              <w:tc>
                <w:tcPr>
                  <w:tcW w:w="265" w:type="dxa"/>
                  <w:tcBorders>
                    <w:top w:val="single" w:color="auto" w:sz="4" w:space="0"/>
                    <w:left w:val="single" w:color="auto" w:sz="4" w:space="0"/>
                    <w:bottom w:val="single" w:color="auto" w:sz="4" w:space="0"/>
                    <w:right w:val="single" w:color="auto" w:sz="4" w:space="0"/>
                  </w:tcBorders>
                  <w:vAlign w:val="center"/>
                </w:tcPr>
                <w:p w14:paraId="157194A0">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415F6AB5">
                  <w:pPr>
                    <w:spacing w:line="240" w:lineRule="auto"/>
                    <w:jc w:val="center"/>
                    <w:rPr>
                      <w:rFonts w:ascii="宋体" w:hAnsi="宋体" w:eastAsia="宋体"/>
                      <w:sz w:val="18"/>
                      <w:szCs w:val="18"/>
                      <w:u w:val="single"/>
                    </w:rPr>
                  </w:pPr>
                </w:p>
              </w:tc>
            </w:tr>
            <w:tr w14:paraId="1B6E1799">
              <w:tblPrEx>
                <w:tblCellMar>
                  <w:top w:w="0" w:type="dxa"/>
                  <w:left w:w="28" w:type="dxa"/>
                  <w:bottom w:w="0" w:type="dxa"/>
                  <w:right w:w="28" w:type="dxa"/>
                </w:tblCellMar>
              </w:tblPrEx>
              <w:trPr>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433B62D9">
                  <w:pPr>
                    <w:spacing w:line="240" w:lineRule="auto"/>
                    <w:jc w:val="center"/>
                    <w:rPr>
                      <w:rFonts w:ascii="宋体" w:hAnsi="宋体" w:eastAsia="宋体"/>
                      <w:sz w:val="18"/>
                      <w:szCs w:val="18"/>
                    </w:rPr>
                  </w:pPr>
                  <w:r>
                    <w:rPr>
                      <w:rFonts w:ascii="宋体" w:hAnsi="宋体" w:eastAsia="宋体"/>
                      <w:sz w:val="18"/>
                      <w:szCs w:val="18"/>
                    </w:rPr>
                    <w:t>放射</w:t>
                  </w:r>
                  <w:r>
                    <w:rPr>
                      <w:rFonts w:ascii="宋体" w:hAnsi="宋体" w:eastAsia="宋体"/>
                      <w:sz w:val="18"/>
                      <w:szCs w:val="18"/>
                    </w:rPr>
                    <w:br w:type="textWrapping"/>
                  </w:r>
                  <w:r>
                    <w:rPr>
                      <w:rFonts w:ascii="宋体" w:hAnsi="宋体" w:eastAsia="宋体"/>
                      <w:sz w:val="18"/>
                      <w:szCs w:val="18"/>
                    </w:rPr>
                    <w:t>治疗</w:t>
                  </w:r>
                </w:p>
              </w:tc>
              <w:tc>
                <w:tcPr>
                  <w:tcW w:w="1260" w:type="dxa"/>
                  <w:tcBorders>
                    <w:top w:val="single" w:color="auto" w:sz="4" w:space="0"/>
                    <w:left w:val="single" w:color="auto" w:sz="4" w:space="0"/>
                    <w:bottom w:val="single" w:color="auto" w:sz="4" w:space="0"/>
                    <w:right w:val="single" w:color="auto" w:sz="8" w:space="0"/>
                  </w:tcBorders>
                  <w:vAlign w:val="center"/>
                </w:tcPr>
                <w:p w14:paraId="584BF0F4">
                  <w:pPr>
                    <w:spacing w:line="240" w:lineRule="auto"/>
                    <w:jc w:val="center"/>
                    <w:rPr>
                      <w:rFonts w:ascii="宋体" w:hAnsi="宋体" w:eastAsia="宋体"/>
                      <w:sz w:val="18"/>
                      <w:szCs w:val="18"/>
                    </w:rPr>
                  </w:pPr>
                  <w:r>
                    <w:rPr>
                      <w:rFonts w:ascii="宋体" w:hAnsi="宋体" w:eastAsia="宋体"/>
                      <w:sz w:val="18"/>
                      <w:szCs w:val="18"/>
                    </w:rPr>
                    <w:t>后装、钴60、直线加速器、γ刀、深部X线治疗</w:t>
                  </w:r>
                </w:p>
              </w:tc>
              <w:tc>
                <w:tcPr>
                  <w:tcW w:w="240" w:type="dxa"/>
                  <w:tcBorders>
                    <w:top w:val="single" w:color="auto" w:sz="4" w:space="0"/>
                    <w:left w:val="single" w:color="auto" w:sz="8" w:space="0"/>
                    <w:bottom w:val="single" w:color="auto" w:sz="4" w:space="0"/>
                    <w:right w:val="single" w:color="auto" w:sz="4" w:space="0"/>
                  </w:tcBorders>
                  <w:vAlign w:val="center"/>
                </w:tcPr>
                <w:p w14:paraId="74679D79">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46112D2F">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1BFF323A">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28369FDB">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529F64A8">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47E5618A">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5DBC32C">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1ADB593C">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BFB1C00">
                  <w:pPr>
                    <w:spacing w:line="240" w:lineRule="auto"/>
                    <w:jc w:val="center"/>
                    <w:rPr>
                      <w:rFonts w:ascii="宋体" w:hAnsi="宋体" w:eastAsia="宋体"/>
                      <w:sz w:val="18"/>
                      <w:szCs w:val="18"/>
                      <w:u w:val="single"/>
                    </w:rPr>
                  </w:pPr>
                </w:p>
              </w:tc>
            </w:tr>
            <w:tr w14:paraId="63876262">
              <w:tblPrEx>
                <w:tblCellMar>
                  <w:top w:w="0" w:type="dxa"/>
                  <w:left w:w="28" w:type="dxa"/>
                  <w:bottom w:w="0" w:type="dxa"/>
                  <w:right w:w="28" w:type="dxa"/>
                </w:tblCellMar>
              </w:tblPrEx>
              <w:trPr>
                <w:trHeight w:val="20" w:hRule="atLeast"/>
              </w:trPr>
              <w:tc>
                <w:tcPr>
                  <w:tcW w:w="286" w:type="dxa"/>
                  <w:vMerge w:val="continue"/>
                  <w:tcBorders>
                    <w:top w:val="single" w:color="auto" w:sz="4" w:space="0"/>
                    <w:left w:val="single" w:color="auto" w:sz="8" w:space="0"/>
                    <w:bottom w:val="single" w:color="auto" w:sz="4" w:space="0"/>
                    <w:right w:val="single" w:color="auto" w:sz="4" w:space="0"/>
                  </w:tcBorders>
                  <w:noWrap/>
                  <w:vAlign w:val="center"/>
                </w:tcPr>
                <w:p w14:paraId="698C1C20">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3F1FE5C5">
                  <w:pPr>
                    <w:spacing w:line="240" w:lineRule="auto"/>
                    <w:jc w:val="center"/>
                    <w:rPr>
                      <w:rFonts w:ascii="宋体" w:hAnsi="宋体" w:eastAsia="宋体"/>
                      <w:sz w:val="18"/>
                      <w:szCs w:val="18"/>
                      <w:u w:val="single"/>
                    </w:rPr>
                  </w:pPr>
                  <w:r>
                    <w:rPr>
                      <w:rFonts w:hint="eastAsia" w:ascii="宋体" w:hAnsi="宋体" w:eastAsia="宋体"/>
                      <w:sz w:val="18"/>
                      <w:szCs w:val="18"/>
                      <w:u w:val="single"/>
                    </w:rPr>
                    <w:t>直线加速器控制电源和真空泵电源</w:t>
                  </w:r>
                </w:p>
              </w:tc>
              <w:tc>
                <w:tcPr>
                  <w:tcW w:w="240" w:type="dxa"/>
                  <w:tcBorders>
                    <w:top w:val="single" w:color="auto" w:sz="4" w:space="0"/>
                    <w:left w:val="single" w:color="auto" w:sz="8" w:space="0"/>
                    <w:bottom w:val="single" w:color="auto" w:sz="4" w:space="0"/>
                    <w:right w:val="single" w:color="auto" w:sz="4" w:space="0"/>
                  </w:tcBorders>
                  <w:vAlign w:val="center"/>
                </w:tcPr>
                <w:p w14:paraId="45BE90DB">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40" w:type="dxa"/>
                  <w:tcBorders>
                    <w:top w:val="single" w:color="auto" w:sz="4" w:space="0"/>
                    <w:left w:val="single" w:color="auto" w:sz="4" w:space="0"/>
                    <w:bottom w:val="single" w:color="auto" w:sz="4" w:space="0"/>
                    <w:right w:val="single" w:color="auto" w:sz="4" w:space="0"/>
                  </w:tcBorders>
                  <w:vAlign w:val="center"/>
                </w:tcPr>
                <w:p w14:paraId="3AC7F6AE">
                  <w:pPr>
                    <w:spacing w:line="240" w:lineRule="auto"/>
                    <w:jc w:val="center"/>
                    <w:rPr>
                      <w:rFonts w:ascii="宋体" w:hAnsi="宋体" w:eastAsia="宋体"/>
                      <w:sz w:val="18"/>
                      <w:szCs w:val="18"/>
                      <w:u w:val="single"/>
                    </w:rPr>
                  </w:pPr>
                </w:p>
              </w:tc>
              <w:tc>
                <w:tcPr>
                  <w:tcW w:w="240" w:type="dxa"/>
                  <w:tcBorders>
                    <w:top w:val="single" w:color="auto" w:sz="4" w:space="0"/>
                    <w:left w:val="single" w:color="auto" w:sz="4" w:space="0"/>
                    <w:bottom w:val="single" w:color="auto" w:sz="4" w:space="0"/>
                    <w:right w:val="single" w:color="auto" w:sz="8" w:space="0"/>
                  </w:tcBorders>
                  <w:vAlign w:val="center"/>
                </w:tcPr>
                <w:p w14:paraId="244F31E0">
                  <w:pPr>
                    <w:spacing w:line="240" w:lineRule="auto"/>
                    <w:jc w:val="center"/>
                    <w:rPr>
                      <w:rFonts w:ascii="宋体" w:hAnsi="宋体" w:eastAsia="宋体"/>
                      <w:sz w:val="18"/>
                      <w:szCs w:val="18"/>
                      <w:u w:val="single"/>
                    </w:rPr>
                  </w:pPr>
                </w:p>
              </w:tc>
              <w:tc>
                <w:tcPr>
                  <w:tcW w:w="321" w:type="dxa"/>
                  <w:tcBorders>
                    <w:top w:val="single" w:color="auto" w:sz="4" w:space="0"/>
                    <w:left w:val="single" w:color="auto" w:sz="8" w:space="0"/>
                    <w:bottom w:val="single" w:color="auto" w:sz="4" w:space="0"/>
                    <w:right w:val="single" w:color="auto" w:sz="4" w:space="0"/>
                  </w:tcBorders>
                  <w:vAlign w:val="center"/>
                </w:tcPr>
                <w:p w14:paraId="0D392EDA">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322" w:type="dxa"/>
                  <w:tcBorders>
                    <w:top w:val="single" w:color="auto" w:sz="4" w:space="0"/>
                    <w:left w:val="single" w:color="auto" w:sz="4" w:space="0"/>
                    <w:bottom w:val="single" w:color="auto" w:sz="4" w:space="0"/>
                    <w:right w:val="single" w:color="auto" w:sz="4" w:space="0"/>
                  </w:tcBorders>
                  <w:vAlign w:val="center"/>
                </w:tcPr>
                <w:p w14:paraId="65C717D1">
                  <w:pPr>
                    <w:spacing w:line="240" w:lineRule="auto"/>
                    <w:jc w:val="center"/>
                    <w:rPr>
                      <w:rFonts w:ascii="宋体" w:hAnsi="宋体" w:eastAsia="宋体"/>
                      <w:sz w:val="18"/>
                      <w:szCs w:val="18"/>
                      <w:u w:val="single"/>
                    </w:rPr>
                  </w:pPr>
                </w:p>
              </w:tc>
              <w:tc>
                <w:tcPr>
                  <w:tcW w:w="322" w:type="dxa"/>
                  <w:tcBorders>
                    <w:top w:val="single" w:color="auto" w:sz="4" w:space="0"/>
                    <w:left w:val="single" w:color="auto" w:sz="4" w:space="0"/>
                    <w:bottom w:val="single" w:color="auto" w:sz="4" w:space="0"/>
                    <w:right w:val="single" w:color="auto" w:sz="8" w:space="0"/>
                  </w:tcBorders>
                  <w:vAlign w:val="center"/>
                </w:tcPr>
                <w:p w14:paraId="21E996BA">
                  <w:pPr>
                    <w:spacing w:line="240" w:lineRule="auto"/>
                    <w:jc w:val="center"/>
                    <w:rPr>
                      <w:rFonts w:ascii="宋体" w:hAnsi="宋体" w:eastAsia="宋体"/>
                      <w:sz w:val="18"/>
                      <w:szCs w:val="18"/>
                      <w:u w:val="single"/>
                    </w:rPr>
                  </w:pPr>
                </w:p>
              </w:tc>
              <w:tc>
                <w:tcPr>
                  <w:tcW w:w="264" w:type="dxa"/>
                  <w:tcBorders>
                    <w:top w:val="single" w:color="auto" w:sz="4" w:space="0"/>
                    <w:left w:val="single" w:color="auto" w:sz="8" w:space="0"/>
                    <w:bottom w:val="single" w:color="auto" w:sz="4" w:space="0"/>
                    <w:right w:val="single" w:color="auto" w:sz="4" w:space="0"/>
                  </w:tcBorders>
                  <w:vAlign w:val="center"/>
                </w:tcPr>
                <w:p w14:paraId="19482355">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4" w:space="0"/>
                  </w:tcBorders>
                  <w:vAlign w:val="center"/>
                </w:tcPr>
                <w:p w14:paraId="7F802B79">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7310B89D">
                  <w:pPr>
                    <w:spacing w:line="240" w:lineRule="auto"/>
                    <w:jc w:val="center"/>
                    <w:rPr>
                      <w:rFonts w:ascii="宋体" w:hAnsi="宋体" w:eastAsia="宋体"/>
                      <w:sz w:val="18"/>
                      <w:szCs w:val="18"/>
                      <w:u w:val="single"/>
                    </w:rPr>
                  </w:pPr>
                </w:p>
              </w:tc>
            </w:tr>
            <w:tr w14:paraId="1D8EE727">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5BD63379">
                  <w:pPr>
                    <w:spacing w:line="240" w:lineRule="auto"/>
                    <w:jc w:val="center"/>
                    <w:rPr>
                      <w:rFonts w:ascii="宋体" w:hAnsi="宋体" w:eastAsia="宋体"/>
                      <w:sz w:val="18"/>
                      <w:szCs w:val="18"/>
                    </w:rPr>
                  </w:pPr>
                  <w:r>
                    <w:rPr>
                      <w:rFonts w:ascii="宋体" w:hAnsi="宋体" w:eastAsia="宋体"/>
                      <w:sz w:val="18"/>
                      <w:szCs w:val="18"/>
                    </w:rPr>
                    <w:t>理疗</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43819C0C">
                  <w:pPr>
                    <w:spacing w:line="240" w:lineRule="auto"/>
                    <w:jc w:val="center"/>
                    <w:rPr>
                      <w:rFonts w:ascii="宋体" w:hAnsi="宋体" w:eastAsia="宋体"/>
                      <w:sz w:val="18"/>
                      <w:szCs w:val="18"/>
                    </w:rPr>
                  </w:pPr>
                  <w:r>
                    <w:rPr>
                      <w:rFonts w:ascii="宋体" w:hAnsi="宋体" w:eastAsia="宋体"/>
                      <w:sz w:val="18"/>
                      <w:szCs w:val="18"/>
                    </w:rPr>
                    <w:t>物理治疗室</w:t>
                  </w:r>
                </w:p>
              </w:tc>
              <w:tc>
                <w:tcPr>
                  <w:tcW w:w="240" w:type="dxa"/>
                  <w:tcBorders>
                    <w:top w:val="single" w:color="auto" w:sz="4" w:space="0"/>
                    <w:left w:val="single" w:color="auto" w:sz="8" w:space="0"/>
                    <w:bottom w:val="single" w:color="auto" w:sz="4" w:space="0"/>
                    <w:right w:val="single" w:color="auto" w:sz="4" w:space="0"/>
                  </w:tcBorders>
                  <w:vAlign w:val="center"/>
                </w:tcPr>
                <w:p w14:paraId="5E4C5232">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30FA4033">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0B7DBDEC">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1EBAE98">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995EF55">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080B824C">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3C925F2C">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5659F25A">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53B33897">
                  <w:pPr>
                    <w:spacing w:line="240" w:lineRule="auto"/>
                    <w:jc w:val="center"/>
                    <w:rPr>
                      <w:rFonts w:ascii="宋体" w:hAnsi="宋体" w:eastAsia="宋体"/>
                      <w:sz w:val="18"/>
                      <w:szCs w:val="18"/>
                      <w:u w:val="single"/>
                    </w:rPr>
                  </w:pPr>
                </w:p>
              </w:tc>
            </w:tr>
            <w:tr w14:paraId="45F4E51D">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0E468509">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426A50C8">
                  <w:pPr>
                    <w:spacing w:line="240" w:lineRule="auto"/>
                    <w:jc w:val="center"/>
                    <w:rPr>
                      <w:rFonts w:ascii="宋体" w:hAnsi="宋体" w:eastAsia="宋体"/>
                      <w:sz w:val="18"/>
                      <w:szCs w:val="18"/>
                    </w:rPr>
                  </w:pPr>
                  <w:r>
                    <w:rPr>
                      <w:rFonts w:ascii="宋体" w:hAnsi="宋体" w:eastAsia="宋体"/>
                      <w:sz w:val="18"/>
                      <w:szCs w:val="18"/>
                    </w:rPr>
                    <w:t>水疗室</w:t>
                  </w:r>
                </w:p>
              </w:tc>
              <w:tc>
                <w:tcPr>
                  <w:tcW w:w="240" w:type="dxa"/>
                  <w:tcBorders>
                    <w:top w:val="single" w:color="auto" w:sz="4" w:space="0"/>
                    <w:left w:val="single" w:color="auto" w:sz="8" w:space="0"/>
                    <w:bottom w:val="single" w:color="auto" w:sz="4" w:space="0"/>
                    <w:right w:val="single" w:color="auto" w:sz="4" w:space="0"/>
                  </w:tcBorders>
                  <w:vAlign w:val="center"/>
                </w:tcPr>
                <w:p w14:paraId="03A9F070">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29799BC1">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39591541">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299125CC">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063CC04">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4F96852D">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C7FF360">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33A89686">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5A354B1">
                  <w:pPr>
                    <w:spacing w:line="240" w:lineRule="auto"/>
                    <w:jc w:val="center"/>
                    <w:rPr>
                      <w:rFonts w:ascii="宋体" w:hAnsi="宋体" w:eastAsia="宋体"/>
                      <w:sz w:val="18"/>
                      <w:szCs w:val="18"/>
                      <w:u w:val="single"/>
                    </w:rPr>
                  </w:pPr>
                </w:p>
              </w:tc>
            </w:tr>
            <w:tr w14:paraId="3FBC2B94">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5F066911">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13F9A1B9">
                  <w:pPr>
                    <w:spacing w:line="240" w:lineRule="auto"/>
                    <w:jc w:val="center"/>
                    <w:rPr>
                      <w:rFonts w:ascii="宋体" w:hAnsi="宋体" w:eastAsia="宋体"/>
                      <w:sz w:val="18"/>
                      <w:szCs w:val="18"/>
                    </w:rPr>
                  </w:pPr>
                  <w:r>
                    <w:rPr>
                      <w:rFonts w:ascii="宋体" w:hAnsi="宋体" w:eastAsia="宋体"/>
                      <w:sz w:val="18"/>
                      <w:szCs w:val="18"/>
                    </w:rPr>
                    <w:t>按摩室</w:t>
                  </w:r>
                </w:p>
              </w:tc>
              <w:tc>
                <w:tcPr>
                  <w:tcW w:w="240" w:type="dxa"/>
                  <w:tcBorders>
                    <w:top w:val="single" w:color="auto" w:sz="4" w:space="0"/>
                    <w:left w:val="single" w:color="auto" w:sz="8" w:space="0"/>
                    <w:bottom w:val="single" w:color="auto" w:sz="4" w:space="0"/>
                    <w:right w:val="single" w:color="auto" w:sz="4" w:space="0"/>
                  </w:tcBorders>
                  <w:vAlign w:val="center"/>
                </w:tcPr>
                <w:p w14:paraId="6ABDE2F0">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11B7FBE3">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5A47001D">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0DC51C4">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F39C85C">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76C84A82">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7CDF5C4D">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1FE4F893">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2E20E9F5">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479ED51B">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30E0A2DC">
                  <w:pPr>
                    <w:spacing w:line="240" w:lineRule="auto"/>
                    <w:jc w:val="center"/>
                    <w:rPr>
                      <w:rFonts w:ascii="宋体" w:hAnsi="宋体" w:eastAsia="宋体"/>
                      <w:sz w:val="18"/>
                      <w:szCs w:val="18"/>
                    </w:rPr>
                  </w:pPr>
                  <w:r>
                    <w:rPr>
                      <w:rFonts w:ascii="宋体" w:hAnsi="宋体" w:eastAsia="宋体"/>
                      <w:sz w:val="18"/>
                      <w:szCs w:val="18"/>
                    </w:rPr>
                    <w:t>检验</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34D4A073">
                  <w:pPr>
                    <w:spacing w:line="240" w:lineRule="auto"/>
                    <w:jc w:val="center"/>
                    <w:rPr>
                      <w:rFonts w:ascii="宋体" w:hAnsi="宋体" w:eastAsia="宋体"/>
                      <w:sz w:val="18"/>
                      <w:szCs w:val="18"/>
                    </w:rPr>
                  </w:pPr>
                  <w:r>
                    <w:rPr>
                      <w:rFonts w:ascii="宋体" w:hAnsi="宋体" w:eastAsia="宋体"/>
                      <w:sz w:val="18"/>
                      <w:szCs w:val="18"/>
                    </w:rPr>
                    <w:t>大型生化仪器</w:t>
                  </w:r>
                </w:p>
              </w:tc>
              <w:tc>
                <w:tcPr>
                  <w:tcW w:w="240" w:type="dxa"/>
                  <w:tcBorders>
                    <w:top w:val="single" w:color="auto" w:sz="4" w:space="0"/>
                    <w:left w:val="single" w:color="auto" w:sz="8" w:space="0"/>
                    <w:bottom w:val="single" w:color="auto" w:sz="4" w:space="0"/>
                    <w:right w:val="single" w:color="auto" w:sz="4" w:space="0"/>
                  </w:tcBorders>
                  <w:vAlign w:val="center"/>
                </w:tcPr>
                <w:p w14:paraId="5C1C1D0A">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3D92EA7D">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483A9FCA">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0C10F52F">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4" w:space="0"/>
                  </w:tcBorders>
                  <w:vAlign w:val="center"/>
                </w:tcPr>
                <w:p w14:paraId="019AB5AA">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2737E6F8">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26A47204">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4" w:space="0"/>
                  </w:tcBorders>
                  <w:vAlign w:val="center"/>
                </w:tcPr>
                <w:p w14:paraId="0DB6D218">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39A69B41">
                  <w:pPr>
                    <w:spacing w:line="240" w:lineRule="auto"/>
                    <w:jc w:val="center"/>
                    <w:rPr>
                      <w:rFonts w:ascii="宋体" w:hAnsi="宋体" w:eastAsia="宋体"/>
                      <w:sz w:val="18"/>
                      <w:szCs w:val="18"/>
                      <w:u w:val="single"/>
                    </w:rPr>
                  </w:pPr>
                </w:p>
              </w:tc>
            </w:tr>
            <w:tr w14:paraId="0AAFC503">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33624FB7">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5D98F054">
                  <w:pPr>
                    <w:spacing w:line="240" w:lineRule="auto"/>
                    <w:jc w:val="center"/>
                    <w:rPr>
                      <w:rFonts w:ascii="宋体" w:hAnsi="宋体" w:eastAsia="宋体"/>
                      <w:sz w:val="18"/>
                      <w:szCs w:val="18"/>
                    </w:rPr>
                  </w:pPr>
                  <w:r>
                    <w:rPr>
                      <w:rFonts w:ascii="宋体" w:hAnsi="宋体" w:eastAsia="宋体"/>
                      <w:sz w:val="18"/>
                      <w:szCs w:val="18"/>
                    </w:rPr>
                    <w:t>一般仪器</w:t>
                  </w:r>
                </w:p>
              </w:tc>
              <w:tc>
                <w:tcPr>
                  <w:tcW w:w="240" w:type="dxa"/>
                  <w:tcBorders>
                    <w:top w:val="single" w:color="auto" w:sz="4" w:space="0"/>
                    <w:left w:val="single" w:color="auto" w:sz="8" w:space="0"/>
                    <w:bottom w:val="single" w:color="auto" w:sz="4" w:space="0"/>
                    <w:right w:val="single" w:color="auto" w:sz="4" w:space="0"/>
                  </w:tcBorders>
                  <w:vAlign w:val="center"/>
                </w:tcPr>
                <w:p w14:paraId="4F489FFB">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302E3561">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77C291DE">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E62E45C">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32DFA139">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4838CEAA">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65D2A1F">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7F25C358">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66C4103C">
                  <w:pPr>
                    <w:spacing w:line="240" w:lineRule="auto"/>
                    <w:jc w:val="center"/>
                    <w:rPr>
                      <w:rFonts w:ascii="宋体" w:hAnsi="宋体" w:eastAsia="宋体"/>
                      <w:sz w:val="18"/>
                      <w:szCs w:val="18"/>
                      <w:u w:val="single"/>
                    </w:rPr>
                  </w:pPr>
                </w:p>
              </w:tc>
            </w:tr>
            <w:tr w14:paraId="3AF97AA1">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1425B732">
                  <w:pPr>
                    <w:spacing w:line="240" w:lineRule="auto"/>
                    <w:jc w:val="center"/>
                    <w:rPr>
                      <w:rFonts w:ascii="宋体" w:hAnsi="宋体" w:eastAsia="宋体"/>
                      <w:sz w:val="18"/>
                      <w:szCs w:val="18"/>
                    </w:rPr>
                  </w:pPr>
                  <w:r>
                    <w:rPr>
                      <w:rFonts w:ascii="宋体" w:hAnsi="宋体" w:eastAsia="宋体"/>
                      <w:sz w:val="18"/>
                      <w:szCs w:val="18"/>
                    </w:rPr>
                    <w:t>核医学</w:t>
                  </w:r>
                </w:p>
              </w:tc>
              <w:tc>
                <w:tcPr>
                  <w:tcW w:w="1260" w:type="dxa"/>
                  <w:tcBorders>
                    <w:top w:val="single" w:color="auto" w:sz="4" w:space="0"/>
                    <w:left w:val="single" w:color="auto" w:sz="4" w:space="0"/>
                    <w:bottom w:val="single" w:color="auto" w:sz="4" w:space="0"/>
                    <w:right w:val="single" w:color="auto" w:sz="8" w:space="0"/>
                  </w:tcBorders>
                  <w:vAlign w:val="center"/>
                </w:tcPr>
                <w:p w14:paraId="05F1A800">
                  <w:pPr>
                    <w:spacing w:line="240" w:lineRule="auto"/>
                    <w:jc w:val="center"/>
                    <w:rPr>
                      <w:rFonts w:ascii="宋体" w:hAnsi="宋体" w:eastAsia="宋体"/>
                      <w:sz w:val="18"/>
                      <w:szCs w:val="18"/>
                    </w:rPr>
                  </w:pPr>
                  <w:r>
                    <w:rPr>
                      <w:rFonts w:ascii="宋体" w:hAnsi="宋体" w:eastAsia="宋体"/>
                      <w:sz w:val="18"/>
                      <w:szCs w:val="18"/>
                    </w:rPr>
                    <w:t>ECT扫描间、PET扫描间、γ像机、服药、注射</w:t>
                  </w:r>
                </w:p>
              </w:tc>
              <w:tc>
                <w:tcPr>
                  <w:tcW w:w="240" w:type="dxa"/>
                  <w:tcBorders>
                    <w:top w:val="single" w:color="auto" w:sz="4" w:space="0"/>
                    <w:left w:val="single" w:color="auto" w:sz="8" w:space="0"/>
                    <w:bottom w:val="single" w:color="auto" w:sz="4" w:space="0"/>
                    <w:right w:val="single" w:color="auto" w:sz="4" w:space="0"/>
                  </w:tcBorders>
                  <w:vAlign w:val="center"/>
                </w:tcPr>
                <w:p w14:paraId="22C6A945">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3A58886B">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71764E3B">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62A413B5">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B9504B5">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2EE27A8F">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1847B84">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1283604E">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551252A6">
                  <w:pPr>
                    <w:spacing w:line="240" w:lineRule="auto"/>
                    <w:jc w:val="center"/>
                    <w:rPr>
                      <w:rFonts w:ascii="宋体" w:hAnsi="宋体" w:eastAsia="宋体"/>
                      <w:sz w:val="18"/>
                      <w:szCs w:val="18"/>
                      <w:u w:val="single"/>
                    </w:rPr>
                  </w:pPr>
                </w:p>
              </w:tc>
            </w:tr>
            <w:tr w14:paraId="66C2AF96">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0FE2418A">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75F916CF">
                  <w:pPr>
                    <w:spacing w:line="240" w:lineRule="auto"/>
                    <w:jc w:val="center"/>
                    <w:rPr>
                      <w:rFonts w:ascii="宋体" w:hAnsi="宋体" w:eastAsia="宋体"/>
                      <w:sz w:val="18"/>
                      <w:szCs w:val="18"/>
                    </w:rPr>
                  </w:pPr>
                  <w:r>
                    <w:rPr>
                      <w:rFonts w:ascii="宋体" w:hAnsi="宋体" w:eastAsia="宋体"/>
                      <w:sz w:val="18"/>
                      <w:szCs w:val="18"/>
                    </w:rPr>
                    <w:t>试剂培制、储源室、分装室、功能测试室、实验室、计量室、</w:t>
                  </w:r>
                </w:p>
              </w:tc>
              <w:tc>
                <w:tcPr>
                  <w:tcW w:w="240" w:type="dxa"/>
                  <w:tcBorders>
                    <w:top w:val="single" w:color="auto" w:sz="4" w:space="0"/>
                    <w:left w:val="single" w:color="auto" w:sz="8" w:space="0"/>
                    <w:bottom w:val="single" w:color="auto" w:sz="4" w:space="0"/>
                    <w:right w:val="single" w:color="auto" w:sz="4" w:space="0"/>
                  </w:tcBorders>
                  <w:vAlign w:val="center"/>
                </w:tcPr>
                <w:p w14:paraId="6FECEE92">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6F893C1D">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7ED42615">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2BC5F615">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647E403E">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5A7388B4">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1D5036BD">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29509FDE">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1511CBC3">
                  <w:pPr>
                    <w:spacing w:line="240" w:lineRule="auto"/>
                    <w:jc w:val="center"/>
                    <w:rPr>
                      <w:rFonts w:ascii="宋体" w:hAnsi="宋体" w:eastAsia="宋体"/>
                      <w:sz w:val="18"/>
                      <w:szCs w:val="18"/>
                      <w:u w:val="single"/>
                    </w:rPr>
                  </w:pPr>
                </w:p>
              </w:tc>
            </w:tr>
            <w:tr w14:paraId="3CBFE0A2">
              <w:tblPrEx>
                <w:tblCellMar>
                  <w:top w:w="0" w:type="dxa"/>
                  <w:left w:w="28" w:type="dxa"/>
                  <w:bottom w:w="0" w:type="dxa"/>
                  <w:right w:w="28" w:type="dxa"/>
                </w:tblCellMar>
              </w:tblPrEx>
              <w:trPr>
                <w:cantSplit/>
                <w:trHeight w:val="20" w:hRule="atLeast"/>
              </w:trPr>
              <w:tc>
                <w:tcPr>
                  <w:tcW w:w="286" w:type="dxa"/>
                  <w:tcBorders>
                    <w:top w:val="single" w:color="auto" w:sz="4" w:space="0"/>
                    <w:left w:val="single" w:color="auto" w:sz="8" w:space="0"/>
                    <w:bottom w:val="single" w:color="auto" w:sz="4" w:space="0"/>
                    <w:right w:val="single" w:color="auto" w:sz="4" w:space="0"/>
                  </w:tcBorders>
                  <w:vAlign w:val="center"/>
                </w:tcPr>
                <w:p w14:paraId="55D6ECBA">
                  <w:pPr>
                    <w:spacing w:line="240" w:lineRule="auto"/>
                    <w:jc w:val="center"/>
                    <w:rPr>
                      <w:rFonts w:ascii="宋体" w:hAnsi="宋体" w:eastAsia="宋体"/>
                      <w:sz w:val="18"/>
                      <w:szCs w:val="18"/>
                    </w:rPr>
                  </w:pPr>
                  <w:r>
                    <w:rPr>
                      <w:rFonts w:ascii="宋体" w:hAnsi="宋体" w:eastAsia="宋体"/>
                      <w:sz w:val="18"/>
                      <w:szCs w:val="18"/>
                    </w:rPr>
                    <w:t>高压氧</w:t>
                  </w:r>
                </w:p>
              </w:tc>
              <w:tc>
                <w:tcPr>
                  <w:tcW w:w="1260" w:type="dxa"/>
                  <w:tcBorders>
                    <w:top w:val="single" w:color="auto" w:sz="4" w:space="0"/>
                    <w:left w:val="single" w:color="auto" w:sz="4" w:space="0"/>
                    <w:bottom w:val="single" w:color="auto" w:sz="4" w:space="0"/>
                    <w:right w:val="single" w:color="auto" w:sz="8" w:space="0"/>
                  </w:tcBorders>
                  <w:vAlign w:val="center"/>
                </w:tcPr>
                <w:p w14:paraId="3144703E">
                  <w:pPr>
                    <w:spacing w:line="240" w:lineRule="auto"/>
                    <w:jc w:val="center"/>
                    <w:rPr>
                      <w:rFonts w:ascii="宋体" w:hAnsi="宋体" w:eastAsia="宋体"/>
                      <w:sz w:val="18"/>
                      <w:szCs w:val="18"/>
                    </w:rPr>
                  </w:pPr>
                  <w:r>
                    <w:rPr>
                      <w:rFonts w:ascii="宋体" w:hAnsi="宋体" w:eastAsia="宋体"/>
                      <w:sz w:val="18"/>
                      <w:szCs w:val="18"/>
                    </w:rPr>
                    <w:t>高压氧</w:t>
                  </w:r>
                  <w:r>
                    <w:rPr>
                      <w:rFonts w:hint="eastAsia" w:ascii="宋体" w:hAnsi="宋体" w:eastAsia="宋体"/>
                      <w:sz w:val="18"/>
                      <w:szCs w:val="18"/>
                    </w:rPr>
                    <w:t>舱</w:t>
                  </w:r>
                </w:p>
              </w:tc>
              <w:tc>
                <w:tcPr>
                  <w:tcW w:w="240" w:type="dxa"/>
                  <w:tcBorders>
                    <w:top w:val="single" w:color="auto" w:sz="4" w:space="0"/>
                    <w:left w:val="single" w:color="auto" w:sz="8" w:space="0"/>
                    <w:bottom w:val="single" w:color="auto" w:sz="4" w:space="0"/>
                    <w:right w:val="single" w:color="auto" w:sz="4" w:space="0"/>
                  </w:tcBorders>
                  <w:vAlign w:val="center"/>
                </w:tcPr>
                <w:p w14:paraId="2992B7BE">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7C9FB6DB">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8" w:space="0"/>
                  </w:tcBorders>
                  <w:vAlign w:val="center"/>
                </w:tcPr>
                <w:p w14:paraId="1636F0AA">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54BB5C09">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32C69A8A">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08236EBC">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525BEA87">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2B411AC8">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7BAD270C">
                  <w:pPr>
                    <w:spacing w:line="240" w:lineRule="auto"/>
                    <w:jc w:val="center"/>
                    <w:rPr>
                      <w:rFonts w:ascii="宋体" w:hAnsi="宋体" w:eastAsia="宋体"/>
                      <w:sz w:val="18"/>
                      <w:szCs w:val="18"/>
                      <w:u w:val="single"/>
                    </w:rPr>
                  </w:pPr>
                </w:p>
              </w:tc>
            </w:tr>
            <w:tr w14:paraId="24D9915D">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281988A3">
                  <w:pPr>
                    <w:spacing w:line="240" w:lineRule="auto"/>
                    <w:jc w:val="center"/>
                    <w:rPr>
                      <w:rFonts w:ascii="宋体" w:hAnsi="宋体" w:eastAsia="宋体"/>
                      <w:sz w:val="18"/>
                      <w:szCs w:val="18"/>
                    </w:rPr>
                  </w:pPr>
                  <w:r>
                    <w:rPr>
                      <w:rFonts w:ascii="宋体" w:hAnsi="宋体" w:eastAsia="宋体"/>
                      <w:sz w:val="18"/>
                      <w:szCs w:val="18"/>
                    </w:rPr>
                    <w:t>输血</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769B8A43">
                  <w:pPr>
                    <w:spacing w:line="240" w:lineRule="auto"/>
                    <w:jc w:val="center"/>
                    <w:rPr>
                      <w:rFonts w:ascii="宋体" w:hAnsi="宋体" w:eastAsia="宋体"/>
                      <w:sz w:val="18"/>
                      <w:szCs w:val="18"/>
                    </w:rPr>
                  </w:pPr>
                  <w:r>
                    <w:rPr>
                      <w:rFonts w:ascii="宋体" w:hAnsi="宋体" w:eastAsia="宋体"/>
                      <w:sz w:val="18"/>
                      <w:szCs w:val="18"/>
                    </w:rPr>
                    <w:t>贮血、</w:t>
                  </w:r>
                </w:p>
              </w:tc>
              <w:tc>
                <w:tcPr>
                  <w:tcW w:w="240" w:type="dxa"/>
                  <w:tcBorders>
                    <w:top w:val="single" w:color="auto" w:sz="4" w:space="0"/>
                    <w:left w:val="single" w:color="auto" w:sz="8" w:space="0"/>
                    <w:bottom w:val="single" w:color="auto" w:sz="4" w:space="0"/>
                    <w:right w:val="single" w:color="auto" w:sz="4" w:space="0"/>
                  </w:tcBorders>
                  <w:vAlign w:val="center"/>
                </w:tcPr>
                <w:p w14:paraId="48141D42">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46B33CA0">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6529A32F">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096632D8">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30B94A1B">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4F5CCC25">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36107538">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306DADA7">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7AAB9E01">
                  <w:pPr>
                    <w:spacing w:line="240" w:lineRule="auto"/>
                    <w:jc w:val="center"/>
                    <w:rPr>
                      <w:rFonts w:ascii="宋体" w:hAnsi="宋体" w:eastAsia="宋体"/>
                      <w:sz w:val="18"/>
                      <w:szCs w:val="18"/>
                      <w:u w:val="single"/>
                    </w:rPr>
                  </w:pPr>
                </w:p>
              </w:tc>
            </w:tr>
            <w:tr w14:paraId="7A61F72F">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49AA6025">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28375099">
                  <w:pPr>
                    <w:spacing w:line="240" w:lineRule="auto"/>
                    <w:jc w:val="center"/>
                    <w:rPr>
                      <w:rFonts w:ascii="宋体" w:hAnsi="宋体" w:eastAsia="宋体"/>
                      <w:sz w:val="18"/>
                      <w:szCs w:val="18"/>
                    </w:rPr>
                  </w:pPr>
                  <w:r>
                    <w:rPr>
                      <w:rFonts w:ascii="宋体" w:hAnsi="宋体" w:eastAsia="宋体"/>
                      <w:sz w:val="18"/>
                      <w:szCs w:val="18"/>
                    </w:rPr>
                    <w:t>配血、发血</w:t>
                  </w:r>
                </w:p>
              </w:tc>
              <w:tc>
                <w:tcPr>
                  <w:tcW w:w="240" w:type="dxa"/>
                  <w:tcBorders>
                    <w:top w:val="single" w:color="auto" w:sz="4" w:space="0"/>
                    <w:left w:val="single" w:color="auto" w:sz="8" w:space="0"/>
                    <w:bottom w:val="single" w:color="auto" w:sz="4" w:space="0"/>
                    <w:right w:val="single" w:color="auto" w:sz="4" w:space="0"/>
                  </w:tcBorders>
                  <w:vAlign w:val="center"/>
                </w:tcPr>
                <w:p w14:paraId="6D1BB94C">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5BA08FE5">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39BD24A0">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2832DF33">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2A96F89">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7928A399">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271913B4">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0815A242">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40FE647D">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6F474309">
              <w:tblPrEx>
                <w:tblCellMar>
                  <w:top w:w="0" w:type="dxa"/>
                  <w:left w:w="28" w:type="dxa"/>
                  <w:bottom w:w="0" w:type="dxa"/>
                  <w:right w:w="28" w:type="dxa"/>
                </w:tblCellMar>
              </w:tblPrEx>
              <w:trPr>
                <w:cantSplit/>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1B54B5DF">
                  <w:pPr>
                    <w:spacing w:line="240" w:lineRule="auto"/>
                    <w:jc w:val="center"/>
                    <w:rPr>
                      <w:rFonts w:ascii="宋体" w:hAnsi="宋体" w:eastAsia="宋体"/>
                      <w:sz w:val="18"/>
                      <w:szCs w:val="18"/>
                    </w:rPr>
                  </w:pPr>
                  <w:r>
                    <w:rPr>
                      <w:rFonts w:ascii="宋体" w:hAnsi="宋体" w:eastAsia="宋体"/>
                      <w:sz w:val="18"/>
                      <w:szCs w:val="18"/>
                    </w:rPr>
                    <w:t>病理</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1BD1DFCA">
                  <w:pPr>
                    <w:spacing w:line="240" w:lineRule="auto"/>
                    <w:jc w:val="center"/>
                    <w:rPr>
                      <w:rFonts w:ascii="宋体" w:hAnsi="宋体" w:eastAsia="宋体"/>
                      <w:sz w:val="18"/>
                      <w:szCs w:val="18"/>
                    </w:rPr>
                  </w:pPr>
                  <w:r>
                    <w:rPr>
                      <w:rFonts w:ascii="宋体" w:hAnsi="宋体" w:eastAsia="宋体"/>
                      <w:sz w:val="18"/>
                      <w:szCs w:val="18"/>
                    </w:rPr>
                    <w:t>取材、制片、镜检、</w:t>
                  </w:r>
                </w:p>
              </w:tc>
              <w:tc>
                <w:tcPr>
                  <w:tcW w:w="240" w:type="dxa"/>
                  <w:tcBorders>
                    <w:top w:val="single" w:color="auto" w:sz="4" w:space="0"/>
                    <w:left w:val="single" w:color="auto" w:sz="8" w:space="0"/>
                    <w:bottom w:val="single" w:color="auto" w:sz="4" w:space="0"/>
                    <w:right w:val="single" w:color="auto" w:sz="4" w:space="0"/>
                  </w:tcBorders>
                  <w:vAlign w:val="center"/>
                </w:tcPr>
                <w:p w14:paraId="5D830F90">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07F8F696">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751881DA">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483A6C39">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0456B36F">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0D2E4BF2">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424333E">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3BCEB16F">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0379B5FC">
                  <w:pPr>
                    <w:spacing w:line="240" w:lineRule="auto"/>
                    <w:jc w:val="center"/>
                    <w:rPr>
                      <w:rFonts w:ascii="宋体" w:hAnsi="宋体" w:eastAsia="宋体"/>
                      <w:sz w:val="18"/>
                      <w:szCs w:val="18"/>
                      <w:u w:val="single"/>
                    </w:rPr>
                  </w:pPr>
                </w:p>
              </w:tc>
            </w:tr>
            <w:tr w14:paraId="089A5D40">
              <w:tblPrEx>
                <w:tblCellMar>
                  <w:top w:w="0" w:type="dxa"/>
                  <w:left w:w="28" w:type="dxa"/>
                  <w:bottom w:w="0" w:type="dxa"/>
                  <w:right w:w="28" w:type="dxa"/>
                </w:tblCellMar>
              </w:tblPrEx>
              <w:trPr>
                <w:cantSplit/>
                <w:trHeight w:val="20" w:hRule="atLeast"/>
              </w:trPr>
              <w:tc>
                <w:tcPr>
                  <w:tcW w:w="286" w:type="dxa"/>
                  <w:vMerge w:val="continue"/>
                  <w:tcBorders>
                    <w:top w:val="single" w:color="auto" w:sz="4" w:space="0"/>
                    <w:left w:val="single" w:color="auto" w:sz="8" w:space="0"/>
                    <w:bottom w:val="single" w:color="auto" w:sz="4" w:space="0"/>
                    <w:right w:val="single" w:color="auto" w:sz="4" w:space="0"/>
                  </w:tcBorders>
                  <w:vAlign w:val="center"/>
                </w:tcPr>
                <w:p w14:paraId="1BE39CD8">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0604C597">
                  <w:pPr>
                    <w:spacing w:line="240" w:lineRule="auto"/>
                    <w:jc w:val="center"/>
                    <w:rPr>
                      <w:rFonts w:ascii="宋体" w:hAnsi="宋体" w:eastAsia="宋体"/>
                      <w:sz w:val="18"/>
                      <w:szCs w:val="18"/>
                    </w:rPr>
                  </w:pPr>
                  <w:r>
                    <w:rPr>
                      <w:rFonts w:ascii="宋体" w:hAnsi="宋体" w:eastAsia="宋体"/>
                      <w:sz w:val="18"/>
                      <w:szCs w:val="18"/>
                    </w:rPr>
                    <w:t>病理解剖、</w:t>
                  </w:r>
                </w:p>
              </w:tc>
              <w:tc>
                <w:tcPr>
                  <w:tcW w:w="240" w:type="dxa"/>
                  <w:tcBorders>
                    <w:top w:val="single" w:color="auto" w:sz="4" w:space="0"/>
                    <w:left w:val="single" w:color="auto" w:sz="8" w:space="0"/>
                    <w:bottom w:val="single" w:color="auto" w:sz="4" w:space="0"/>
                    <w:right w:val="single" w:color="auto" w:sz="4" w:space="0"/>
                  </w:tcBorders>
                  <w:vAlign w:val="center"/>
                </w:tcPr>
                <w:p w14:paraId="001CF166">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71658ABA">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5F87F602">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7DF59D4A">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52A015AB">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626C2FA3">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6B6C7D58">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3C117FD9">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06626A72">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314627F4">
              <w:tblPrEx>
                <w:tblCellMar>
                  <w:top w:w="0" w:type="dxa"/>
                  <w:left w:w="28" w:type="dxa"/>
                  <w:bottom w:w="0" w:type="dxa"/>
                  <w:right w:w="28" w:type="dxa"/>
                </w:tblCellMar>
              </w:tblPrEx>
              <w:trPr>
                <w:trHeight w:val="20" w:hRule="atLeast"/>
              </w:trPr>
              <w:tc>
                <w:tcPr>
                  <w:tcW w:w="286" w:type="dxa"/>
                  <w:tcBorders>
                    <w:top w:val="single" w:color="auto" w:sz="4" w:space="0"/>
                    <w:left w:val="single" w:color="auto" w:sz="8" w:space="0"/>
                    <w:bottom w:val="single" w:color="auto" w:sz="4" w:space="0"/>
                    <w:right w:val="single" w:color="auto" w:sz="4" w:space="0"/>
                  </w:tcBorders>
                  <w:noWrap/>
                  <w:vAlign w:val="center"/>
                </w:tcPr>
                <w:p w14:paraId="24F81ED1">
                  <w:pPr>
                    <w:spacing w:line="240" w:lineRule="auto"/>
                    <w:jc w:val="center"/>
                    <w:rPr>
                      <w:rFonts w:ascii="宋体" w:hAnsi="宋体" w:eastAsia="宋体"/>
                      <w:sz w:val="18"/>
                      <w:szCs w:val="18"/>
                    </w:rPr>
                  </w:pPr>
                  <w:r>
                    <w:rPr>
                      <w:rFonts w:ascii="宋体" w:hAnsi="宋体" w:eastAsia="宋体"/>
                      <w:sz w:val="18"/>
                      <w:szCs w:val="18"/>
                    </w:rPr>
                    <w:t>药剂</w:t>
                  </w:r>
                  <w:r>
                    <w:rPr>
                      <w:rFonts w:hint="eastAsia" w:ascii="宋体" w:hAnsi="宋体" w:eastAsia="宋体"/>
                      <w:sz w:val="18"/>
                      <w:szCs w:val="18"/>
                    </w:rPr>
                    <w:t>科</w:t>
                  </w:r>
                </w:p>
              </w:tc>
              <w:tc>
                <w:tcPr>
                  <w:tcW w:w="1260" w:type="dxa"/>
                  <w:tcBorders>
                    <w:top w:val="single" w:color="auto" w:sz="4" w:space="0"/>
                    <w:left w:val="single" w:color="auto" w:sz="4" w:space="0"/>
                    <w:bottom w:val="single" w:color="auto" w:sz="4" w:space="0"/>
                    <w:right w:val="single" w:color="auto" w:sz="8" w:space="0"/>
                  </w:tcBorders>
                  <w:vAlign w:val="center"/>
                </w:tcPr>
                <w:p w14:paraId="5DC3051A">
                  <w:pPr>
                    <w:spacing w:line="240" w:lineRule="auto"/>
                    <w:jc w:val="center"/>
                    <w:rPr>
                      <w:rFonts w:ascii="宋体" w:hAnsi="宋体" w:eastAsia="宋体"/>
                      <w:sz w:val="18"/>
                      <w:szCs w:val="18"/>
                    </w:rPr>
                  </w:pPr>
                  <w:r>
                    <w:rPr>
                      <w:rFonts w:ascii="宋体" w:hAnsi="宋体" w:eastAsia="宋体"/>
                      <w:sz w:val="18"/>
                      <w:szCs w:val="18"/>
                    </w:rPr>
                    <w:t>贵重药品冷库</w:t>
                  </w:r>
                </w:p>
              </w:tc>
              <w:tc>
                <w:tcPr>
                  <w:tcW w:w="240" w:type="dxa"/>
                  <w:tcBorders>
                    <w:top w:val="single" w:color="auto" w:sz="4" w:space="0"/>
                    <w:left w:val="single" w:color="auto" w:sz="8" w:space="0"/>
                    <w:bottom w:val="single" w:color="auto" w:sz="4" w:space="0"/>
                    <w:right w:val="single" w:color="auto" w:sz="4" w:space="0"/>
                  </w:tcBorders>
                  <w:vAlign w:val="center"/>
                </w:tcPr>
                <w:p w14:paraId="1DA793BC">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40DB4C3E">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3808C229">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430D7E5A">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7B52C44">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7C702A48">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7612F67A">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50869CEE">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573F44FB">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41E11240">
              <w:tblPrEx>
                <w:tblCellMar>
                  <w:top w:w="0" w:type="dxa"/>
                  <w:left w:w="28" w:type="dxa"/>
                  <w:bottom w:w="0" w:type="dxa"/>
                  <w:right w:w="28" w:type="dxa"/>
                </w:tblCellMar>
              </w:tblPrEx>
              <w:trPr>
                <w:trHeight w:val="20" w:hRule="atLeast"/>
              </w:trPr>
              <w:tc>
                <w:tcPr>
                  <w:tcW w:w="286" w:type="dxa"/>
                  <w:vMerge w:val="restart"/>
                  <w:tcBorders>
                    <w:top w:val="single" w:color="auto" w:sz="4" w:space="0"/>
                    <w:left w:val="single" w:color="auto" w:sz="8" w:space="0"/>
                    <w:bottom w:val="single" w:color="auto" w:sz="4" w:space="0"/>
                    <w:right w:val="single" w:color="auto" w:sz="4" w:space="0"/>
                  </w:tcBorders>
                  <w:noWrap/>
                  <w:vAlign w:val="center"/>
                </w:tcPr>
                <w:p w14:paraId="6B777C27">
                  <w:pPr>
                    <w:spacing w:line="240" w:lineRule="auto"/>
                    <w:jc w:val="center"/>
                    <w:rPr>
                      <w:rFonts w:ascii="宋体" w:hAnsi="宋体" w:eastAsia="宋体"/>
                      <w:sz w:val="18"/>
                      <w:szCs w:val="18"/>
                    </w:rPr>
                  </w:pPr>
                  <w:r>
                    <w:rPr>
                      <w:rFonts w:hint="eastAsia" w:ascii="宋体" w:hAnsi="宋体" w:eastAsia="宋体"/>
                      <w:sz w:val="18"/>
                      <w:szCs w:val="18"/>
                    </w:rPr>
                    <w:t>保障</w:t>
                  </w:r>
                  <w:r>
                    <w:rPr>
                      <w:rFonts w:ascii="宋体" w:hAnsi="宋体" w:eastAsia="宋体"/>
                      <w:sz w:val="18"/>
                      <w:szCs w:val="18"/>
                    </w:rPr>
                    <w:br w:type="textWrapping"/>
                  </w:r>
                  <w:r>
                    <w:rPr>
                      <w:rFonts w:hint="eastAsia" w:ascii="宋体" w:hAnsi="宋体" w:eastAsia="宋体"/>
                      <w:sz w:val="18"/>
                      <w:szCs w:val="18"/>
                    </w:rPr>
                    <w:t>系统</w:t>
                  </w:r>
                </w:p>
              </w:tc>
              <w:tc>
                <w:tcPr>
                  <w:tcW w:w="1260" w:type="dxa"/>
                  <w:tcBorders>
                    <w:top w:val="single" w:color="auto" w:sz="4" w:space="0"/>
                    <w:left w:val="single" w:color="auto" w:sz="4" w:space="0"/>
                    <w:bottom w:val="single" w:color="auto" w:sz="4" w:space="0"/>
                    <w:right w:val="single" w:color="auto" w:sz="8" w:space="0"/>
                  </w:tcBorders>
                  <w:vAlign w:val="center"/>
                </w:tcPr>
                <w:p w14:paraId="61E2CD11">
                  <w:pPr>
                    <w:spacing w:line="240" w:lineRule="auto"/>
                    <w:jc w:val="center"/>
                    <w:rPr>
                      <w:rFonts w:ascii="宋体" w:hAnsi="宋体" w:eastAsia="宋体"/>
                      <w:sz w:val="18"/>
                      <w:szCs w:val="18"/>
                    </w:rPr>
                  </w:pPr>
                  <w:r>
                    <w:rPr>
                      <w:rFonts w:ascii="宋体" w:hAnsi="宋体" w:eastAsia="宋体"/>
                      <w:sz w:val="18"/>
                      <w:szCs w:val="18"/>
                    </w:rPr>
                    <w:t>医用气体供应系统</w:t>
                  </w:r>
                </w:p>
              </w:tc>
              <w:tc>
                <w:tcPr>
                  <w:tcW w:w="240" w:type="dxa"/>
                  <w:tcBorders>
                    <w:top w:val="single" w:color="auto" w:sz="4" w:space="0"/>
                    <w:left w:val="single" w:color="auto" w:sz="8" w:space="0"/>
                    <w:bottom w:val="single" w:color="auto" w:sz="4" w:space="0"/>
                    <w:right w:val="single" w:color="auto" w:sz="4" w:space="0"/>
                  </w:tcBorders>
                  <w:vAlign w:val="center"/>
                </w:tcPr>
                <w:p w14:paraId="54E1EA67">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79EA5A77">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2E9D7A66">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6A6D5592">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7F78BCEB">
                  <w:pPr>
                    <w:spacing w:line="240" w:lineRule="auto"/>
                    <w:jc w:val="center"/>
                    <w:rPr>
                      <w:rFonts w:ascii="宋体" w:hAnsi="宋体" w:eastAsia="宋体"/>
                      <w:sz w:val="18"/>
                      <w:szCs w:val="18"/>
                    </w:rPr>
                  </w:pPr>
                  <w:r>
                    <w:rPr>
                      <w:rFonts w:ascii="宋体" w:hAnsi="宋体" w:eastAsia="宋体"/>
                      <w:sz w:val="18"/>
                      <w:szCs w:val="18"/>
                    </w:rPr>
                    <w:t>X</w:t>
                  </w:r>
                </w:p>
              </w:tc>
              <w:tc>
                <w:tcPr>
                  <w:tcW w:w="322" w:type="dxa"/>
                  <w:tcBorders>
                    <w:top w:val="single" w:color="auto" w:sz="4" w:space="0"/>
                    <w:left w:val="single" w:color="auto" w:sz="4" w:space="0"/>
                    <w:bottom w:val="single" w:color="auto" w:sz="4" w:space="0"/>
                    <w:right w:val="single" w:color="auto" w:sz="8" w:space="0"/>
                  </w:tcBorders>
                  <w:vAlign w:val="center"/>
                </w:tcPr>
                <w:p w14:paraId="55F47F60">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1FC77765">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423C1849">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8" w:space="0"/>
                  </w:tcBorders>
                  <w:vAlign w:val="center"/>
                </w:tcPr>
                <w:p w14:paraId="167C8403">
                  <w:pPr>
                    <w:spacing w:line="240" w:lineRule="auto"/>
                    <w:jc w:val="center"/>
                    <w:rPr>
                      <w:rFonts w:ascii="宋体" w:hAnsi="宋体" w:eastAsia="宋体"/>
                      <w:sz w:val="18"/>
                      <w:szCs w:val="18"/>
                      <w:u w:val="single"/>
                    </w:rPr>
                  </w:pPr>
                </w:p>
              </w:tc>
            </w:tr>
            <w:tr w14:paraId="0A2BE87F">
              <w:trPr>
                <w:trHeight w:val="20" w:hRule="atLeast"/>
              </w:trPr>
              <w:tc>
                <w:tcPr>
                  <w:tcW w:w="286" w:type="dxa"/>
                  <w:vMerge w:val="continue"/>
                  <w:tcBorders>
                    <w:top w:val="single" w:color="auto" w:sz="4" w:space="0"/>
                    <w:left w:val="single" w:color="auto" w:sz="8" w:space="0"/>
                    <w:bottom w:val="single" w:color="auto" w:sz="4" w:space="0"/>
                    <w:right w:val="single" w:color="auto" w:sz="4" w:space="0"/>
                  </w:tcBorders>
                  <w:noWrap/>
                  <w:vAlign w:val="center"/>
                </w:tcPr>
                <w:p w14:paraId="7285ECB3">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16D68BDC">
                  <w:pPr>
                    <w:spacing w:line="240" w:lineRule="auto"/>
                    <w:jc w:val="center"/>
                    <w:rPr>
                      <w:rFonts w:ascii="宋体" w:hAnsi="宋体" w:eastAsia="宋体"/>
                      <w:sz w:val="18"/>
                      <w:szCs w:val="18"/>
                      <w:u w:val="single"/>
                    </w:rPr>
                  </w:pPr>
                  <w:r>
                    <w:rPr>
                      <w:rFonts w:hint="eastAsia" w:ascii="宋体" w:hAnsi="宋体" w:eastAsia="宋体"/>
                      <w:sz w:val="18"/>
                      <w:szCs w:val="18"/>
                      <w:u w:val="single"/>
                    </w:rPr>
                    <w:t>重症呼吸道病房通风系统</w:t>
                  </w:r>
                </w:p>
              </w:tc>
              <w:tc>
                <w:tcPr>
                  <w:tcW w:w="240" w:type="dxa"/>
                  <w:tcBorders>
                    <w:top w:val="single" w:color="auto" w:sz="4" w:space="0"/>
                    <w:left w:val="single" w:color="auto" w:sz="8" w:space="0"/>
                    <w:bottom w:val="single" w:color="auto" w:sz="4" w:space="0"/>
                    <w:right w:val="single" w:color="auto" w:sz="4" w:space="0"/>
                  </w:tcBorders>
                  <w:vAlign w:val="center"/>
                </w:tcPr>
                <w:p w14:paraId="3FC04213">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40" w:type="dxa"/>
                  <w:tcBorders>
                    <w:top w:val="single" w:color="auto" w:sz="4" w:space="0"/>
                    <w:left w:val="single" w:color="auto" w:sz="4" w:space="0"/>
                    <w:bottom w:val="single" w:color="auto" w:sz="4" w:space="0"/>
                    <w:right w:val="single" w:color="auto" w:sz="4" w:space="0"/>
                  </w:tcBorders>
                  <w:vAlign w:val="center"/>
                </w:tcPr>
                <w:p w14:paraId="4DB3B3DC">
                  <w:pPr>
                    <w:spacing w:line="240" w:lineRule="auto"/>
                    <w:jc w:val="center"/>
                    <w:rPr>
                      <w:rFonts w:ascii="宋体" w:hAnsi="宋体" w:eastAsia="宋体"/>
                      <w:sz w:val="18"/>
                      <w:szCs w:val="18"/>
                      <w:u w:val="single"/>
                    </w:rPr>
                  </w:pPr>
                </w:p>
              </w:tc>
              <w:tc>
                <w:tcPr>
                  <w:tcW w:w="240" w:type="dxa"/>
                  <w:tcBorders>
                    <w:top w:val="single" w:color="auto" w:sz="4" w:space="0"/>
                    <w:left w:val="single" w:color="auto" w:sz="4" w:space="0"/>
                    <w:bottom w:val="single" w:color="auto" w:sz="4" w:space="0"/>
                    <w:right w:val="single" w:color="auto" w:sz="8" w:space="0"/>
                  </w:tcBorders>
                  <w:vAlign w:val="center"/>
                </w:tcPr>
                <w:p w14:paraId="0207DA6A">
                  <w:pPr>
                    <w:spacing w:line="240" w:lineRule="auto"/>
                    <w:jc w:val="center"/>
                    <w:rPr>
                      <w:rFonts w:ascii="宋体" w:hAnsi="宋体" w:eastAsia="宋体"/>
                      <w:sz w:val="18"/>
                      <w:szCs w:val="18"/>
                      <w:u w:val="single"/>
                    </w:rPr>
                  </w:pPr>
                </w:p>
              </w:tc>
              <w:tc>
                <w:tcPr>
                  <w:tcW w:w="321" w:type="dxa"/>
                  <w:tcBorders>
                    <w:top w:val="single" w:color="auto" w:sz="4" w:space="0"/>
                    <w:left w:val="single" w:color="auto" w:sz="8" w:space="0"/>
                    <w:bottom w:val="single" w:color="auto" w:sz="4" w:space="0"/>
                    <w:right w:val="single" w:color="auto" w:sz="4" w:space="0"/>
                  </w:tcBorders>
                  <w:vAlign w:val="center"/>
                </w:tcPr>
                <w:p w14:paraId="0252BFAC">
                  <w:pPr>
                    <w:spacing w:line="240" w:lineRule="auto"/>
                    <w:jc w:val="center"/>
                    <w:rPr>
                      <w:rFonts w:ascii="宋体" w:hAnsi="宋体" w:eastAsia="宋体"/>
                      <w:sz w:val="18"/>
                      <w:szCs w:val="18"/>
                      <w:u w:val="single"/>
                    </w:rPr>
                  </w:pPr>
                </w:p>
              </w:tc>
              <w:tc>
                <w:tcPr>
                  <w:tcW w:w="322" w:type="dxa"/>
                  <w:tcBorders>
                    <w:top w:val="single" w:color="auto" w:sz="4" w:space="0"/>
                    <w:left w:val="single" w:color="auto" w:sz="4" w:space="0"/>
                    <w:bottom w:val="single" w:color="auto" w:sz="4" w:space="0"/>
                    <w:right w:val="single" w:color="auto" w:sz="4" w:space="0"/>
                  </w:tcBorders>
                  <w:vAlign w:val="center"/>
                </w:tcPr>
                <w:p w14:paraId="3B8FCE94">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322" w:type="dxa"/>
                  <w:tcBorders>
                    <w:top w:val="single" w:color="auto" w:sz="4" w:space="0"/>
                    <w:left w:val="single" w:color="auto" w:sz="4" w:space="0"/>
                    <w:bottom w:val="single" w:color="auto" w:sz="4" w:space="0"/>
                    <w:right w:val="single" w:color="auto" w:sz="8" w:space="0"/>
                  </w:tcBorders>
                  <w:vAlign w:val="center"/>
                </w:tcPr>
                <w:p w14:paraId="16F4CADF">
                  <w:pPr>
                    <w:spacing w:line="240" w:lineRule="auto"/>
                    <w:jc w:val="center"/>
                    <w:rPr>
                      <w:rFonts w:ascii="宋体" w:hAnsi="宋体" w:eastAsia="宋体"/>
                      <w:sz w:val="18"/>
                      <w:szCs w:val="18"/>
                    </w:rPr>
                  </w:pPr>
                </w:p>
              </w:tc>
              <w:tc>
                <w:tcPr>
                  <w:tcW w:w="264" w:type="dxa"/>
                  <w:tcBorders>
                    <w:top w:val="single" w:color="auto" w:sz="4" w:space="0"/>
                    <w:left w:val="single" w:color="auto" w:sz="8" w:space="0"/>
                    <w:bottom w:val="single" w:color="auto" w:sz="4" w:space="0"/>
                    <w:right w:val="single" w:color="auto" w:sz="4" w:space="0"/>
                  </w:tcBorders>
                  <w:vAlign w:val="center"/>
                </w:tcPr>
                <w:p w14:paraId="4817874E">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4" w:space="0"/>
                  </w:tcBorders>
                  <w:vAlign w:val="center"/>
                </w:tcPr>
                <w:p w14:paraId="49AEA150">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4B6F5C11">
                  <w:pPr>
                    <w:spacing w:line="240" w:lineRule="auto"/>
                    <w:jc w:val="center"/>
                    <w:rPr>
                      <w:rFonts w:ascii="宋体" w:hAnsi="宋体" w:eastAsia="宋体"/>
                      <w:sz w:val="18"/>
                      <w:szCs w:val="18"/>
                      <w:u w:val="single"/>
                    </w:rPr>
                  </w:pPr>
                </w:p>
              </w:tc>
            </w:tr>
            <w:tr w14:paraId="0787C9A5">
              <w:tblPrEx>
                <w:tblCellMar>
                  <w:top w:w="0" w:type="dxa"/>
                  <w:left w:w="28" w:type="dxa"/>
                  <w:bottom w:w="0" w:type="dxa"/>
                  <w:right w:w="28" w:type="dxa"/>
                </w:tblCellMar>
              </w:tblPrEx>
              <w:trPr>
                <w:trHeight w:val="20" w:hRule="atLeast"/>
              </w:trPr>
              <w:tc>
                <w:tcPr>
                  <w:tcW w:w="286" w:type="dxa"/>
                  <w:vMerge w:val="continue"/>
                  <w:tcBorders>
                    <w:top w:val="single" w:color="auto" w:sz="4" w:space="0"/>
                    <w:left w:val="single" w:color="auto" w:sz="8" w:space="0"/>
                    <w:bottom w:val="single" w:color="auto" w:sz="4" w:space="0"/>
                    <w:right w:val="single" w:color="auto" w:sz="4" w:space="0"/>
                  </w:tcBorders>
                  <w:noWrap/>
                  <w:vAlign w:val="center"/>
                </w:tcPr>
                <w:p w14:paraId="51830E54">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2BC97D37">
                  <w:pPr>
                    <w:spacing w:line="240" w:lineRule="auto"/>
                    <w:jc w:val="center"/>
                    <w:rPr>
                      <w:rFonts w:ascii="宋体" w:hAnsi="宋体" w:eastAsia="宋体"/>
                      <w:sz w:val="18"/>
                      <w:szCs w:val="18"/>
                      <w:u w:val="single"/>
                    </w:rPr>
                  </w:pPr>
                  <w:r>
                    <w:rPr>
                      <w:rFonts w:ascii="宋体" w:hAnsi="宋体" w:eastAsia="宋体"/>
                      <w:sz w:val="18"/>
                      <w:szCs w:val="18"/>
                      <w:u w:val="single"/>
                    </w:rPr>
                    <w:t>数据中心及计算机网络系统</w:t>
                  </w:r>
                </w:p>
              </w:tc>
              <w:tc>
                <w:tcPr>
                  <w:tcW w:w="240" w:type="dxa"/>
                  <w:tcBorders>
                    <w:top w:val="single" w:color="auto" w:sz="4" w:space="0"/>
                    <w:left w:val="single" w:color="auto" w:sz="8" w:space="0"/>
                    <w:bottom w:val="single" w:color="auto" w:sz="4" w:space="0"/>
                    <w:right w:val="single" w:color="auto" w:sz="4" w:space="0"/>
                  </w:tcBorders>
                  <w:vAlign w:val="center"/>
                </w:tcPr>
                <w:p w14:paraId="6BD57281">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40" w:type="dxa"/>
                  <w:tcBorders>
                    <w:top w:val="single" w:color="auto" w:sz="4" w:space="0"/>
                    <w:left w:val="single" w:color="auto" w:sz="4" w:space="0"/>
                    <w:bottom w:val="single" w:color="auto" w:sz="4" w:space="0"/>
                    <w:right w:val="single" w:color="auto" w:sz="4" w:space="0"/>
                  </w:tcBorders>
                  <w:vAlign w:val="center"/>
                </w:tcPr>
                <w:p w14:paraId="7696C2A9">
                  <w:pPr>
                    <w:spacing w:line="240" w:lineRule="auto"/>
                    <w:jc w:val="center"/>
                    <w:rPr>
                      <w:rFonts w:ascii="宋体" w:hAnsi="宋体" w:eastAsia="宋体"/>
                      <w:sz w:val="18"/>
                      <w:szCs w:val="18"/>
                      <w:u w:val="single"/>
                    </w:rPr>
                  </w:pPr>
                </w:p>
              </w:tc>
              <w:tc>
                <w:tcPr>
                  <w:tcW w:w="240" w:type="dxa"/>
                  <w:tcBorders>
                    <w:top w:val="single" w:color="auto" w:sz="4" w:space="0"/>
                    <w:left w:val="single" w:color="auto" w:sz="4" w:space="0"/>
                    <w:bottom w:val="single" w:color="auto" w:sz="4" w:space="0"/>
                    <w:right w:val="single" w:color="auto" w:sz="8" w:space="0"/>
                  </w:tcBorders>
                  <w:vAlign w:val="center"/>
                </w:tcPr>
                <w:p w14:paraId="10B6BAB8">
                  <w:pPr>
                    <w:spacing w:line="240" w:lineRule="auto"/>
                    <w:jc w:val="center"/>
                    <w:rPr>
                      <w:rFonts w:ascii="宋体" w:hAnsi="宋体" w:eastAsia="宋体"/>
                      <w:sz w:val="18"/>
                      <w:szCs w:val="18"/>
                      <w:u w:val="single"/>
                    </w:rPr>
                  </w:pPr>
                </w:p>
              </w:tc>
              <w:tc>
                <w:tcPr>
                  <w:tcW w:w="321" w:type="dxa"/>
                  <w:tcBorders>
                    <w:top w:val="single" w:color="auto" w:sz="4" w:space="0"/>
                    <w:left w:val="single" w:color="auto" w:sz="8" w:space="0"/>
                    <w:bottom w:val="single" w:color="auto" w:sz="4" w:space="0"/>
                    <w:right w:val="single" w:color="auto" w:sz="4" w:space="0"/>
                  </w:tcBorders>
                  <w:vAlign w:val="center"/>
                </w:tcPr>
                <w:p w14:paraId="4D25D8EB">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322" w:type="dxa"/>
                  <w:tcBorders>
                    <w:top w:val="single" w:color="auto" w:sz="4" w:space="0"/>
                    <w:left w:val="single" w:color="auto" w:sz="4" w:space="0"/>
                    <w:bottom w:val="single" w:color="auto" w:sz="4" w:space="0"/>
                    <w:right w:val="single" w:color="auto" w:sz="4" w:space="0"/>
                  </w:tcBorders>
                  <w:vAlign w:val="center"/>
                </w:tcPr>
                <w:p w14:paraId="3FFF926D">
                  <w:pPr>
                    <w:spacing w:line="240" w:lineRule="auto"/>
                    <w:jc w:val="center"/>
                    <w:rPr>
                      <w:rFonts w:ascii="宋体" w:hAnsi="宋体" w:eastAsia="宋体"/>
                      <w:sz w:val="18"/>
                      <w:szCs w:val="18"/>
                      <w:u w:val="single"/>
                    </w:rPr>
                  </w:pPr>
                </w:p>
              </w:tc>
              <w:tc>
                <w:tcPr>
                  <w:tcW w:w="322" w:type="dxa"/>
                  <w:tcBorders>
                    <w:top w:val="single" w:color="auto" w:sz="4" w:space="0"/>
                    <w:left w:val="single" w:color="auto" w:sz="4" w:space="0"/>
                    <w:bottom w:val="single" w:color="auto" w:sz="4" w:space="0"/>
                    <w:right w:val="single" w:color="auto" w:sz="8" w:space="0"/>
                  </w:tcBorders>
                  <w:vAlign w:val="center"/>
                </w:tcPr>
                <w:p w14:paraId="4AA13E62">
                  <w:pPr>
                    <w:spacing w:line="240" w:lineRule="auto"/>
                    <w:jc w:val="center"/>
                    <w:rPr>
                      <w:rFonts w:ascii="宋体" w:hAnsi="宋体" w:eastAsia="宋体"/>
                      <w:sz w:val="18"/>
                      <w:szCs w:val="18"/>
                      <w:u w:val="single"/>
                    </w:rPr>
                  </w:pPr>
                </w:p>
              </w:tc>
              <w:tc>
                <w:tcPr>
                  <w:tcW w:w="264" w:type="dxa"/>
                  <w:tcBorders>
                    <w:top w:val="single" w:color="auto" w:sz="4" w:space="0"/>
                    <w:left w:val="single" w:color="auto" w:sz="8" w:space="0"/>
                    <w:bottom w:val="single" w:color="auto" w:sz="4" w:space="0"/>
                    <w:right w:val="single" w:color="auto" w:sz="4" w:space="0"/>
                  </w:tcBorders>
                  <w:vAlign w:val="center"/>
                </w:tcPr>
                <w:p w14:paraId="26E306D3">
                  <w:pPr>
                    <w:spacing w:line="240" w:lineRule="auto"/>
                    <w:jc w:val="center"/>
                    <w:rPr>
                      <w:rFonts w:ascii="宋体" w:hAnsi="宋体" w:eastAsia="宋体"/>
                      <w:sz w:val="18"/>
                      <w:szCs w:val="18"/>
                      <w:u w:val="single"/>
                    </w:rPr>
                  </w:pPr>
                  <w:r>
                    <w:rPr>
                      <w:rFonts w:ascii="宋体" w:hAnsi="宋体" w:eastAsia="宋体"/>
                      <w:sz w:val="18"/>
                      <w:szCs w:val="18"/>
                      <w:u w:val="single"/>
                    </w:rPr>
                    <w:t>X</w:t>
                  </w:r>
                </w:p>
              </w:tc>
              <w:tc>
                <w:tcPr>
                  <w:tcW w:w="265" w:type="dxa"/>
                  <w:tcBorders>
                    <w:top w:val="single" w:color="auto" w:sz="4" w:space="0"/>
                    <w:left w:val="single" w:color="auto" w:sz="4" w:space="0"/>
                    <w:bottom w:val="single" w:color="auto" w:sz="4" w:space="0"/>
                    <w:right w:val="single" w:color="auto" w:sz="4" w:space="0"/>
                  </w:tcBorders>
                  <w:vAlign w:val="center"/>
                </w:tcPr>
                <w:p w14:paraId="6E89A298">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312F882C">
                  <w:pPr>
                    <w:spacing w:line="240" w:lineRule="auto"/>
                    <w:jc w:val="center"/>
                    <w:rPr>
                      <w:rFonts w:ascii="宋体" w:hAnsi="宋体" w:eastAsia="宋体"/>
                      <w:sz w:val="18"/>
                      <w:szCs w:val="18"/>
                      <w:u w:val="single"/>
                    </w:rPr>
                  </w:pPr>
                </w:p>
              </w:tc>
            </w:tr>
            <w:tr w14:paraId="16C9BEB8">
              <w:tblPrEx>
                <w:tblCellMar>
                  <w:top w:w="0" w:type="dxa"/>
                  <w:left w:w="28" w:type="dxa"/>
                  <w:bottom w:w="0" w:type="dxa"/>
                  <w:right w:w="28" w:type="dxa"/>
                </w:tblCellMar>
              </w:tblPrEx>
              <w:trPr>
                <w:trHeight w:val="20" w:hRule="atLeast"/>
              </w:trPr>
              <w:tc>
                <w:tcPr>
                  <w:tcW w:w="286" w:type="dxa"/>
                  <w:vMerge w:val="continue"/>
                  <w:tcBorders>
                    <w:top w:val="single" w:color="auto" w:sz="4" w:space="0"/>
                    <w:left w:val="single" w:color="auto" w:sz="8" w:space="0"/>
                    <w:bottom w:val="single" w:color="auto" w:sz="4" w:space="0"/>
                    <w:right w:val="single" w:color="auto" w:sz="4" w:space="0"/>
                  </w:tcBorders>
                  <w:noWrap/>
                  <w:vAlign w:val="center"/>
                </w:tcPr>
                <w:p w14:paraId="4F4D5496">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4" w:space="0"/>
                    <w:right w:val="single" w:color="auto" w:sz="8" w:space="0"/>
                  </w:tcBorders>
                  <w:vAlign w:val="center"/>
                </w:tcPr>
                <w:p w14:paraId="64B2E60B">
                  <w:pPr>
                    <w:spacing w:line="240" w:lineRule="auto"/>
                    <w:jc w:val="center"/>
                    <w:rPr>
                      <w:rFonts w:ascii="宋体" w:hAnsi="宋体" w:eastAsia="宋体"/>
                      <w:sz w:val="18"/>
                      <w:szCs w:val="18"/>
                    </w:rPr>
                  </w:pPr>
                  <w:r>
                    <w:rPr>
                      <w:rFonts w:ascii="宋体" w:hAnsi="宋体" w:eastAsia="宋体"/>
                      <w:sz w:val="18"/>
                      <w:szCs w:val="18"/>
                    </w:rPr>
                    <w:t>中心（消毒）供应室、空气净化机组</w:t>
                  </w:r>
                  <w:r>
                    <w:rPr>
                      <w:rFonts w:hint="eastAsia" w:ascii="宋体" w:hAnsi="宋体" w:eastAsia="宋体"/>
                      <w:sz w:val="18"/>
                      <w:szCs w:val="18"/>
                      <w:u w:val="single"/>
                    </w:rPr>
                    <w:t>、太平柜</w:t>
                  </w:r>
                </w:p>
              </w:tc>
              <w:tc>
                <w:tcPr>
                  <w:tcW w:w="240" w:type="dxa"/>
                  <w:tcBorders>
                    <w:top w:val="single" w:color="auto" w:sz="4" w:space="0"/>
                    <w:left w:val="single" w:color="auto" w:sz="8" w:space="0"/>
                    <w:bottom w:val="single" w:color="auto" w:sz="4" w:space="0"/>
                    <w:right w:val="single" w:color="auto" w:sz="4" w:space="0"/>
                  </w:tcBorders>
                  <w:vAlign w:val="center"/>
                </w:tcPr>
                <w:p w14:paraId="3E300EE2">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4" w:space="0"/>
                    <w:right w:val="single" w:color="auto" w:sz="4" w:space="0"/>
                  </w:tcBorders>
                  <w:vAlign w:val="center"/>
                </w:tcPr>
                <w:p w14:paraId="54B7DA9A">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4" w:space="0"/>
                    <w:right w:val="single" w:color="auto" w:sz="8" w:space="0"/>
                  </w:tcBorders>
                  <w:vAlign w:val="center"/>
                </w:tcPr>
                <w:p w14:paraId="2C4A325E">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4" w:space="0"/>
                    <w:right w:val="single" w:color="auto" w:sz="4" w:space="0"/>
                  </w:tcBorders>
                  <w:vAlign w:val="center"/>
                </w:tcPr>
                <w:p w14:paraId="357B139F">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4" w:space="0"/>
                  </w:tcBorders>
                  <w:vAlign w:val="center"/>
                </w:tcPr>
                <w:p w14:paraId="4DAC7B93">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4" w:space="0"/>
                    <w:right w:val="single" w:color="auto" w:sz="8" w:space="0"/>
                  </w:tcBorders>
                  <w:vAlign w:val="center"/>
                </w:tcPr>
                <w:p w14:paraId="6D0D94CF">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4" w:space="0"/>
                    <w:right w:val="single" w:color="auto" w:sz="4" w:space="0"/>
                  </w:tcBorders>
                  <w:vAlign w:val="center"/>
                </w:tcPr>
                <w:p w14:paraId="3D12C44F">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4" w:space="0"/>
                  </w:tcBorders>
                  <w:vAlign w:val="center"/>
                </w:tcPr>
                <w:p w14:paraId="1401CEF6">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4" w:space="0"/>
                    <w:right w:val="single" w:color="auto" w:sz="8" w:space="0"/>
                  </w:tcBorders>
                  <w:vAlign w:val="center"/>
                </w:tcPr>
                <w:p w14:paraId="246D790D">
                  <w:pPr>
                    <w:spacing w:line="240" w:lineRule="auto"/>
                    <w:jc w:val="center"/>
                    <w:rPr>
                      <w:rFonts w:ascii="宋体" w:hAnsi="宋体" w:eastAsia="宋体"/>
                      <w:sz w:val="18"/>
                      <w:szCs w:val="18"/>
                      <w:u w:val="single"/>
                    </w:rPr>
                  </w:pPr>
                  <w:r>
                    <w:rPr>
                      <w:rFonts w:ascii="宋体" w:hAnsi="宋体" w:eastAsia="宋体"/>
                      <w:sz w:val="18"/>
                      <w:szCs w:val="18"/>
                      <w:u w:val="single"/>
                    </w:rPr>
                    <w:t>X</w:t>
                  </w:r>
                </w:p>
              </w:tc>
            </w:tr>
            <w:tr w14:paraId="7A7D0AF0">
              <w:tblPrEx>
                <w:tblCellMar>
                  <w:top w:w="0" w:type="dxa"/>
                  <w:left w:w="28" w:type="dxa"/>
                  <w:bottom w:w="0" w:type="dxa"/>
                  <w:right w:w="28" w:type="dxa"/>
                </w:tblCellMar>
              </w:tblPrEx>
              <w:trPr>
                <w:trHeight w:val="20" w:hRule="atLeast"/>
              </w:trPr>
              <w:tc>
                <w:tcPr>
                  <w:tcW w:w="286" w:type="dxa"/>
                  <w:vMerge w:val="continue"/>
                  <w:tcBorders>
                    <w:top w:val="single" w:color="auto" w:sz="4" w:space="0"/>
                    <w:left w:val="single" w:color="auto" w:sz="8" w:space="0"/>
                    <w:bottom w:val="single" w:color="auto" w:sz="8" w:space="0"/>
                    <w:right w:val="single" w:color="auto" w:sz="4" w:space="0"/>
                  </w:tcBorders>
                  <w:noWrap/>
                  <w:vAlign w:val="center"/>
                </w:tcPr>
                <w:p w14:paraId="54A647E6">
                  <w:pPr>
                    <w:spacing w:line="240" w:lineRule="auto"/>
                    <w:jc w:val="center"/>
                    <w:rPr>
                      <w:rFonts w:ascii="宋体" w:hAnsi="宋体" w:eastAsia="宋体"/>
                      <w:sz w:val="18"/>
                      <w:szCs w:val="18"/>
                    </w:rPr>
                  </w:pPr>
                </w:p>
              </w:tc>
              <w:tc>
                <w:tcPr>
                  <w:tcW w:w="1260" w:type="dxa"/>
                  <w:tcBorders>
                    <w:top w:val="single" w:color="auto" w:sz="4" w:space="0"/>
                    <w:left w:val="single" w:color="auto" w:sz="4" w:space="0"/>
                    <w:bottom w:val="single" w:color="auto" w:sz="8" w:space="0"/>
                    <w:right w:val="single" w:color="auto" w:sz="8" w:space="0"/>
                  </w:tcBorders>
                  <w:vAlign w:val="center"/>
                </w:tcPr>
                <w:p w14:paraId="0A211F18">
                  <w:pPr>
                    <w:kinsoku w:val="0"/>
                    <w:overflowPunct w:val="0"/>
                    <w:autoSpaceDE w:val="0"/>
                    <w:autoSpaceDN w:val="0"/>
                    <w:spacing w:line="240" w:lineRule="auto"/>
                    <w:jc w:val="center"/>
                    <w:rPr>
                      <w:rFonts w:ascii="宋体" w:hAnsi="宋体" w:eastAsia="宋体" w:cs="Arial"/>
                      <w:kern w:val="44"/>
                      <w:sz w:val="18"/>
                      <w:szCs w:val="18"/>
                      <w:u w:val="single"/>
                    </w:rPr>
                  </w:pPr>
                  <w:r>
                    <w:rPr>
                      <w:rFonts w:hint="eastAsia" w:ascii="宋体" w:hAnsi="宋体" w:eastAsia="宋体" w:cs="Arial"/>
                      <w:kern w:val="44"/>
                      <w:sz w:val="18"/>
                      <w:szCs w:val="18"/>
                      <w:bdr w:val="single" w:color="auto" w:sz="4" w:space="0"/>
                    </w:rPr>
                    <w:t>太平柜、焚烧炉、锅炉房</w:t>
                  </w:r>
                  <w:r>
                    <w:rPr>
                      <w:rFonts w:hint="eastAsia" w:ascii="宋体" w:hAnsi="宋体" w:eastAsia="宋体" w:cs="Arial"/>
                      <w:kern w:val="44"/>
                      <w:sz w:val="18"/>
                      <w:szCs w:val="18"/>
                      <w:u w:val="single"/>
                    </w:rPr>
                    <w:t>空调、供暖和通风系统、建筑服务和废物处理系统；冷却设备；餐饮设备；蓄电池充电器</w:t>
                  </w:r>
                </w:p>
              </w:tc>
              <w:tc>
                <w:tcPr>
                  <w:tcW w:w="240" w:type="dxa"/>
                  <w:tcBorders>
                    <w:top w:val="single" w:color="auto" w:sz="4" w:space="0"/>
                    <w:left w:val="single" w:color="auto" w:sz="8" w:space="0"/>
                    <w:bottom w:val="single" w:color="auto" w:sz="8" w:space="0"/>
                    <w:right w:val="single" w:color="auto" w:sz="4" w:space="0"/>
                  </w:tcBorders>
                  <w:vAlign w:val="center"/>
                </w:tcPr>
                <w:p w14:paraId="33B29BB5">
                  <w:pPr>
                    <w:spacing w:line="240" w:lineRule="auto"/>
                    <w:jc w:val="center"/>
                    <w:rPr>
                      <w:rFonts w:ascii="宋体" w:hAnsi="宋体" w:eastAsia="宋体"/>
                      <w:sz w:val="18"/>
                      <w:szCs w:val="18"/>
                    </w:rPr>
                  </w:pPr>
                  <w:r>
                    <w:rPr>
                      <w:rFonts w:ascii="宋体" w:hAnsi="宋体" w:eastAsia="宋体"/>
                      <w:sz w:val="18"/>
                      <w:szCs w:val="18"/>
                    </w:rPr>
                    <w:t>X</w:t>
                  </w:r>
                </w:p>
              </w:tc>
              <w:tc>
                <w:tcPr>
                  <w:tcW w:w="240" w:type="dxa"/>
                  <w:tcBorders>
                    <w:top w:val="single" w:color="auto" w:sz="4" w:space="0"/>
                    <w:left w:val="single" w:color="auto" w:sz="4" w:space="0"/>
                    <w:bottom w:val="single" w:color="auto" w:sz="8" w:space="0"/>
                    <w:right w:val="single" w:color="auto" w:sz="4" w:space="0"/>
                  </w:tcBorders>
                  <w:vAlign w:val="center"/>
                </w:tcPr>
                <w:p w14:paraId="660C4D3D">
                  <w:pPr>
                    <w:spacing w:line="240" w:lineRule="auto"/>
                    <w:jc w:val="center"/>
                    <w:rPr>
                      <w:rFonts w:ascii="宋体" w:hAnsi="宋体" w:eastAsia="宋体"/>
                      <w:sz w:val="18"/>
                      <w:szCs w:val="18"/>
                    </w:rPr>
                  </w:pPr>
                </w:p>
              </w:tc>
              <w:tc>
                <w:tcPr>
                  <w:tcW w:w="240" w:type="dxa"/>
                  <w:tcBorders>
                    <w:top w:val="single" w:color="auto" w:sz="4" w:space="0"/>
                    <w:left w:val="single" w:color="auto" w:sz="4" w:space="0"/>
                    <w:bottom w:val="single" w:color="auto" w:sz="8" w:space="0"/>
                    <w:right w:val="single" w:color="auto" w:sz="8" w:space="0"/>
                  </w:tcBorders>
                  <w:vAlign w:val="center"/>
                </w:tcPr>
                <w:p w14:paraId="00FBF8E0">
                  <w:pPr>
                    <w:spacing w:line="240" w:lineRule="auto"/>
                    <w:jc w:val="center"/>
                    <w:rPr>
                      <w:rFonts w:ascii="宋体" w:hAnsi="宋体" w:eastAsia="宋体"/>
                      <w:sz w:val="18"/>
                      <w:szCs w:val="18"/>
                    </w:rPr>
                  </w:pPr>
                </w:p>
              </w:tc>
              <w:tc>
                <w:tcPr>
                  <w:tcW w:w="321" w:type="dxa"/>
                  <w:tcBorders>
                    <w:top w:val="single" w:color="auto" w:sz="4" w:space="0"/>
                    <w:left w:val="single" w:color="auto" w:sz="8" w:space="0"/>
                    <w:bottom w:val="single" w:color="auto" w:sz="8" w:space="0"/>
                    <w:right w:val="single" w:color="auto" w:sz="4" w:space="0"/>
                  </w:tcBorders>
                  <w:vAlign w:val="center"/>
                </w:tcPr>
                <w:p w14:paraId="5D876970">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8" w:space="0"/>
                    <w:right w:val="single" w:color="auto" w:sz="4" w:space="0"/>
                  </w:tcBorders>
                  <w:vAlign w:val="center"/>
                </w:tcPr>
                <w:p w14:paraId="2EE4D325">
                  <w:pPr>
                    <w:spacing w:line="240" w:lineRule="auto"/>
                    <w:jc w:val="center"/>
                    <w:rPr>
                      <w:rFonts w:ascii="宋体" w:hAnsi="宋体" w:eastAsia="宋体"/>
                      <w:sz w:val="18"/>
                      <w:szCs w:val="18"/>
                    </w:rPr>
                  </w:pPr>
                </w:p>
              </w:tc>
              <w:tc>
                <w:tcPr>
                  <w:tcW w:w="322" w:type="dxa"/>
                  <w:tcBorders>
                    <w:top w:val="single" w:color="auto" w:sz="4" w:space="0"/>
                    <w:left w:val="single" w:color="auto" w:sz="4" w:space="0"/>
                    <w:bottom w:val="single" w:color="auto" w:sz="8" w:space="0"/>
                    <w:right w:val="single" w:color="auto" w:sz="8" w:space="0"/>
                  </w:tcBorders>
                  <w:vAlign w:val="center"/>
                </w:tcPr>
                <w:p w14:paraId="1B84EF23">
                  <w:pPr>
                    <w:spacing w:line="240" w:lineRule="auto"/>
                    <w:jc w:val="center"/>
                    <w:rPr>
                      <w:rFonts w:ascii="宋体" w:hAnsi="宋体" w:eastAsia="宋体"/>
                      <w:sz w:val="18"/>
                      <w:szCs w:val="18"/>
                    </w:rPr>
                  </w:pPr>
                  <w:r>
                    <w:rPr>
                      <w:rFonts w:ascii="宋体" w:hAnsi="宋体" w:eastAsia="宋体"/>
                      <w:sz w:val="18"/>
                      <w:szCs w:val="18"/>
                    </w:rPr>
                    <w:t>X</w:t>
                  </w:r>
                </w:p>
              </w:tc>
              <w:tc>
                <w:tcPr>
                  <w:tcW w:w="264" w:type="dxa"/>
                  <w:tcBorders>
                    <w:top w:val="single" w:color="auto" w:sz="4" w:space="0"/>
                    <w:left w:val="single" w:color="auto" w:sz="8" w:space="0"/>
                    <w:bottom w:val="single" w:color="auto" w:sz="8" w:space="0"/>
                    <w:right w:val="single" w:color="auto" w:sz="4" w:space="0"/>
                  </w:tcBorders>
                  <w:vAlign w:val="center"/>
                </w:tcPr>
                <w:p w14:paraId="55D6CA23">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8" w:space="0"/>
                    <w:right w:val="single" w:color="auto" w:sz="4" w:space="0"/>
                  </w:tcBorders>
                  <w:vAlign w:val="center"/>
                </w:tcPr>
                <w:p w14:paraId="2C1571F0">
                  <w:pPr>
                    <w:spacing w:line="240" w:lineRule="auto"/>
                    <w:jc w:val="center"/>
                    <w:rPr>
                      <w:rFonts w:ascii="宋体" w:hAnsi="宋体" w:eastAsia="宋体"/>
                      <w:sz w:val="18"/>
                      <w:szCs w:val="18"/>
                      <w:u w:val="single"/>
                    </w:rPr>
                  </w:pPr>
                </w:p>
              </w:tc>
              <w:tc>
                <w:tcPr>
                  <w:tcW w:w="265" w:type="dxa"/>
                  <w:tcBorders>
                    <w:top w:val="single" w:color="auto" w:sz="4" w:space="0"/>
                    <w:left w:val="single" w:color="auto" w:sz="4" w:space="0"/>
                    <w:bottom w:val="single" w:color="auto" w:sz="8" w:space="0"/>
                    <w:right w:val="single" w:color="auto" w:sz="8" w:space="0"/>
                  </w:tcBorders>
                  <w:vAlign w:val="center"/>
                </w:tcPr>
                <w:p w14:paraId="4DC0DA21">
                  <w:pPr>
                    <w:spacing w:line="240" w:lineRule="auto"/>
                    <w:jc w:val="center"/>
                    <w:rPr>
                      <w:rFonts w:ascii="宋体" w:hAnsi="宋体" w:eastAsia="宋体"/>
                      <w:sz w:val="18"/>
                      <w:szCs w:val="18"/>
                      <w:u w:val="single"/>
                    </w:rPr>
                  </w:pPr>
                  <w:r>
                    <w:rPr>
                      <w:rFonts w:ascii="宋体" w:hAnsi="宋体" w:eastAsia="宋体"/>
                      <w:sz w:val="18"/>
                      <w:szCs w:val="18"/>
                      <w:u w:val="single"/>
                    </w:rPr>
                    <w:t>X</w:t>
                  </w:r>
                </w:p>
              </w:tc>
            </w:tr>
          </w:tbl>
          <w:p w14:paraId="64153E33">
            <w:pPr>
              <w:spacing w:line="240" w:lineRule="auto"/>
              <w:ind w:firstLine="360" w:firstLineChars="200"/>
              <w:rPr>
                <w:rFonts w:ascii="宋体" w:hAnsi="宋体" w:eastAsia="宋体"/>
                <w:sz w:val="18"/>
                <w:szCs w:val="18"/>
              </w:rPr>
            </w:pPr>
            <w:r>
              <w:rPr>
                <w:rFonts w:hint="eastAsia" w:ascii="宋体" w:hAnsi="宋体" w:eastAsia="宋体"/>
                <w:sz w:val="18"/>
                <w:szCs w:val="18"/>
              </w:rPr>
              <w:t>注</w:t>
            </w:r>
            <w:r>
              <w:rPr>
                <w:rFonts w:hint="eastAsia" w:ascii="宋体" w:hAnsi="宋体" w:eastAsia="宋体"/>
                <w:iCs/>
                <w:sz w:val="18"/>
                <w:szCs w:val="18"/>
                <w:u w:val="single"/>
              </w:rPr>
              <w:t>1</w:t>
            </w:r>
            <w:r>
              <w:rPr>
                <w:rFonts w:hint="eastAsia" w:ascii="宋体" w:hAnsi="宋体" w:eastAsia="宋体"/>
                <w:sz w:val="18"/>
                <w:szCs w:val="18"/>
              </w:rPr>
              <w:t>：</w:t>
            </w:r>
            <w:r>
              <w:rPr>
                <w:rFonts w:ascii="宋体" w:hAnsi="宋体" w:eastAsia="宋体"/>
                <w:sz w:val="18"/>
                <w:szCs w:val="18"/>
              </w:rPr>
              <w:t>a</w:t>
            </w:r>
            <w:r>
              <w:rPr>
                <w:rFonts w:hint="eastAsia" w:ascii="宋体" w:hAnsi="宋体" w:eastAsia="宋体"/>
                <w:sz w:val="18"/>
                <w:szCs w:val="18"/>
              </w:rPr>
              <w:t>为</w:t>
            </w:r>
            <w:r>
              <w:rPr>
                <w:rFonts w:ascii="宋体" w:hAnsi="宋体" w:eastAsia="宋体"/>
                <w:sz w:val="18"/>
                <w:szCs w:val="18"/>
              </w:rPr>
              <w:t>照明及生命支持电气设备</w:t>
            </w:r>
            <w:r>
              <w:rPr>
                <w:rFonts w:hint="eastAsia" w:ascii="宋体" w:hAnsi="宋体" w:eastAsia="宋体"/>
                <w:sz w:val="18"/>
                <w:szCs w:val="18"/>
                <w:u w:val="single"/>
              </w:rPr>
              <w:t>，包括</w:t>
            </w:r>
            <w:r>
              <w:rPr>
                <w:rFonts w:hint="eastAsia" w:ascii="宋体" w:hAnsi="宋体" w:eastAsia="宋体"/>
                <w:iCs/>
                <w:sz w:val="18"/>
                <w:szCs w:val="18"/>
                <w:u w:val="single"/>
              </w:rPr>
              <w:t>手术台照明</w:t>
            </w:r>
            <w:r>
              <w:rPr>
                <w:rFonts w:ascii="宋体" w:hAnsi="宋体" w:eastAsia="宋体"/>
                <w:iCs/>
                <w:sz w:val="18"/>
                <w:szCs w:val="18"/>
                <w:u w:val="single"/>
              </w:rPr>
              <w:t>、</w:t>
            </w:r>
            <w:r>
              <w:rPr>
                <w:rFonts w:hint="eastAsia" w:ascii="宋体" w:hAnsi="宋体" w:eastAsia="宋体"/>
                <w:iCs/>
                <w:sz w:val="18"/>
                <w:szCs w:val="18"/>
                <w:u w:val="single"/>
              </w:rPr>
              <w:t>医用电气设备和医用电气系统，包括光源和程序所必需的设备、关键生命支持医用电气设备和医用电气系统</w:t>
            </w:r>
            <w:r>
              <w:rPr>
                <w:rFonts w:ascii="宋体" w:hAnsi="宋体" w:eastAsia="宋体"/>
                <w:sz w:val="18"/>
                <w:szCs w:val="18"/>
              </w:rPr>
              <w:t>；</w:t>
            </w:r>
          </w:p>
          <w:p w14:paraId="1E0019B9">
            <w:pPr>
              <w:spacing w:line="240" w:lineRule="auto"/>
              <w:ind w:firstLine="360" w:firstLineChars="200"/>
              <w:rPr>
                <w:rFonts w:ascii="宋体" w:hAnsi="宋体" w:eastAsia="宋体"/>
                <w:sz w:val="18"/>
                <w:szCs w:val="18"/>
              </w:rPr>
            </w:pPr>
            <w:r>
              <w:rPr>
                <w:rFonts w:hint="eastAsia" w:ascii="宋体" w:hAnsi="宋体" w:eastAsia="宋体"/>
                <w:iCs/>
                <w:sz w:val="18"/>
                <w:szCs w:val="18"/>
                <w:u w:val="single"/>
              </w:rPr>
              <w:t>注2：</w:t>
            </w:r>
            <w:r>
              <w:rPr>
                <w:rFonts w:ascii="宋体" w:hAnsi="宋体" w:eastAsia="宋体"/>
                <w:sz w:val="18"/>
                <w:szCs w:val="18"/>
              </w:rPr>
              <w:t>b</w:t>
            </w:r>
            <w:r>
              <w:rPr>
                <w:rFonts w:hint="eastAsia" w:ascii="宋体" w:hAnsi="宋体" w:eastAsia="宋体"/>
                <w:sz w:val="18"/>
                <w:szCs w:val="18"/>
              </w:rPr>
              <w:t>为</w:t>
            </w:r>
            <w:r>
              <w:rPr>
                <w:rFonts w:ascii="宋体" w:hAnsi="宋体" w:eastAsia="宋体"/>
                <w:sz w:val="18"/>
                <w:szCs w:val="18"/>
              </w:rPr>
              <w:t>不作为手术室；</w:t>
            </w:r>
          </w:p>
          <w:p w14:paraId="79B8FA19">
            <w:pPr>
              <w:spacing w:line="240" w:lineRule="auto"/>
              <w:ind w:firstLine="360" w:firstLineChars="200"/>
            </w:pPr>
            <w:r>
              <w:rPr>
                <w:rFonts w:hint="eastAsia" w:ascii="宋体" w:hAnsi="宋体" w:eastAsia="宋体"/>
                <w:iCs/>
                <w:sz w:val="18"/>
                <w:szCs w:val="18"/>
                <w:u w:val="single"/>
              </w:rPr>
              <w:t>注3：</w:t>
            </w:r>
            <w:r>
              <w:rPr>
                <w:rFonts w:hint="eastAsia" w:ascii="宋体" w:hAnsi="宋体" w:eastAsia="宋体"/>
                <w:sz w:val="18"/>
                <w:szCs w:val="18"/>
                <w:u w:val="single"/>
              </w:rPr>
              <w:t>消防相关负荷分级按照国家现行有关标准执行。</w:t>
            </w:r>
          </w:p>
        </w:tc>
      </w:tr>
      <w:tr w14:paraId="4643C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2E88B34"/>
        </w:tc>
        <w:tc>
          <w:tcPr>
            <w:tcW w:w="4261" w:type="dxa"/>
            <w:shd w:val="clear" w:color="auto" w:fill="auto"/>
          </w:tcPr>
          <w:p w14:paraId="7E310BAD">
            <w:pPr>
              <w:rPr>
                <w:rFonts w:ascii="宋体" w:hAnsi="宋体" w:eastAsia="宋体"/>
                <w:u w:val="single"/>
              </w:rPr>
            </w:pPr>
            <w:r>
              <w:rPr>
                <w:rFonts w:ascii="宋体" w:hAnsi="宋体" w:eastAsia="宋体"/>
                <w:iCs/>
                <w:u w:val="single"/>
              </w:rPr>
              <w:t xml:space="preserve">8.1.3A </w:t>
            </w:r>
            <w:r>
              <w:rPr>
                <w:rFonts w:hint="eastAsia" w:ascii="宋体" w:hAnsi="宋体" w:eastAsia="宋体"/>
                <w:u w:val="single"/>
              </w:rPr>
              <w:t>有“平疫转换”功能的医院，应符合下列要求：</w:t>
            </w:r>
          </w:p>
          <w:p w14:paraId="3A99D81F">
            <w:pPr>
              <w:ind w:firstLine="480" w:firstLineChars="200"/>
              <w:rPr>
                <w:rFonts w:ascii="宋体" w:hAnsi="宋体" w:eastAsia="宋体"/>
                <w:u w:val="single"/>
              </w:rPr>
            </w:pPr>
            <w:r>
              <w:rPr>
                <w:rFonts w:ascii="宋体" w:hAnsi="宋体" w:eastAsia="宋体"/>
                <w:u w:val="single"/>
              </w:rPr>
              <w:t xml:space="preserve">1 </w:t>
            </w:r>
            <w:r>
              <w:rPr>
                <w:rFonts w:hint="eastAsia" w:ascii="宋体" w:hAnsi="宋体" w:eastAsia="宋体"/>
                <w:u w:val="single"/>
              </w:rPr>
              <w:t>供配电系统设计应考虑平疫结合的需求，供电电源容量及电气回路应做相应预留。</w:t>
            </w:r>
          </w:p>
          <w:p w14:paraId="3B04E2DF">
            <w:pPr>
              <w:ind w:firstLine="480" w:firstLineChars="200"/>
              <w:rPr>
                <w:rFonts w:ascii="宋体" w:hAnsi="宋体" w:eastAsia="宋体"/>
                <w:u w:val="single"/>
              </w:rPr>
            </w:pPr>
            <w:r>
              <w:rPr>
                <w:rFonts w:ascii="宋体" w:hAnsi="宋体" w:eastAsia="宋体"/>
                <w:u w:val="single"/>
              </w:rPr>
              <w:t xml:space="preserve">2 </w:t>
            </w:r>
            <w:r>
              <w:rPr>
                <w:rFonts w:hint="eastAsia" w:ascii="宋体" w:hAnsi="宋体" w:eastAsia="宋体"/>
                <w:u w:val="single"/>
              </w:rPr>
              <w:t>在院区内预留应急设施场地的，宜预留临时变配电室、发电机的安装位置；</w:t>
            </w:r>
          </w:p>
          <w:p w14:paraId="45805509">
            <w:pPr>
              <w:ind w:firstLine="480" w:firstLineChars="200"/>
              <w:rPr>
                <w:rFonts w:ascii="宋体" w:hAnsi="宋体" w:eastAsia="宋体"/>
                <w:u w:val="single"/>
              </w:rPr>
            </w:pPr>
            <w:r>
              <w:rPr>
                <w:rFonts w:ascii="宋体" w:hAnsi="宋体" w:eastAsia="宋体"/>
                <w:u w:val="single"/>
              </w:rPr>
              <w:t>3 “</w:t>
            </w:r>
            <w:r>
              <w:rPr>
                <w:rFonts w:hint="eastAsia" w:ascii="宋体" w:hAnsi="宋体" w:eastAsia="宋体"/>
                <w:u w:val="single"/>
              </w:rPr>
              <w:t>平疫转换”病区各类配电箱宜设置在转换后清洁区。</w:t>
            </w:r>
          </w:p>
          <w:p w14:paraId="674B13CF">
            <w:pPr>
              <w:ind w:firstLine="480" w:firstLineChars="200"/>
            </w:pPr>
            <w:r>
              <w:rPr>
                <w:rFonts w:hint="eastAsia" w:ascii="宋体" w:hAnsi="宋体" w:eastAsia="宋体"/>
                <w:iCs/>
                <w:u w:val="single"/>
              </w:rPr>
              <w:t xml:space="preserve">4 </w:t>
            </w:r>
            <w:r>
              <w:rPr>
                <w:rFonts w:hint="eastAsia" w:ascii="宋体" w:hAnsi="宋体" w:eastAsia="宋体"/>
                <w:u w:val="single"/>
              </w:rPr>
              <w:t>各医疗空间应充分考虑消毒装置的电源插座的设置。</w:t>
            </w:r>
          </w:p>
        </w:tc>
      </w:tr>
      <w:tr w14:paraId="40B3A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16A5B4C">
            <w:pPr>
              <w:jc w:val="center"/>
              <w:rPr>
                <w:rFonts w:asciiTheme="minorEastAsia" w:hAnsiTheme="minorEastAsia"/>
              </w:rPr>
            </w:pPr>
            <w:r>
              <w:rPr>
                <w:rFonts w:hint="eastAsia" w:asciiTheme="minorEastAsia" w:hAnsiTheme="minorEastAsia"/>
              </w:rPr>
              <w:t>8.2 电 源</w:t>
            </w:r>
          </w:p>
        </w:tc>
        <w:tc>
          <w:tcPr>
            <w:tcW w:w="4261" w:type="dxa"/>
            <w:shd w:val="clear" w:color="auto" w:fill="auto"/>
          </w:tcPr>
          <w:p w14:paraId="583D3F56">
            <w:pPr>
              <w:jc w:val="center"/>
              <w:rPr>
                <w:rFonts w:asciiTheme="minorEastAsia" w:hAnsiTheme="minorEastAsia"/>
              </w:rPr>
            </w:pPr>
            <w:r>
              <w:rPr>
                <w:rFonts w:hint="eastAsia" w:asciiTheme="minorEastAsia" w:hAnsiTheme="minorEastAsia"/>
              </w:rPr>
              <w:t>8.2 电 源</w:t>
            </w:r>
          </w:p>
        </w:tc>
      </w:tr>
      <w:tr w14:paraId="5C0E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611174D">
            <w:r>
              <w:rPr>
                <w:rFonts w:asciiTheme="minorEastAsia" w:hAnsiTheme="minorEastAsia"/>
              </w:rPr>
              <w:t>8.2.1 医</w:t>
            </w:r>
            <w:r>
              <w:rPr>
                <w:rFonts w:ascii="宋体" w:hAnsi="宋体" w:eastAsia="宋体"/>
              </w:rPr>
              <w:t>疗场所供配电系统应根据</w:t>
            </w:r>
            <w:r>
              <w:rPr>
                <w:rFonts w:hint="eastAsia" w:ascii="宋体" w:hAnsi="宋体" w:eastAsia="宋体"/>
              </w:rPr>
              <w:t>医疗场所分类</w:t>
            </w:r>
            <w:r>
              <w:rPr>
                <w:rFonts w:hint="eastAsia" w:ascii="宋体" w:hAnsi="宋体" w:eastAsia="宋体"/>
                <w:bdr w:val="single" w:color="auto" w:sz="4" w:space="0"/>
              </w:rPr>
              <w:t>及自动恢复供电时间</w:t>
            </w:r>
            <w:r>
              <w:rPr>
                <w:rFonts w:hint="eastAsia" w:ascii="宋体" w:hAnsi="宋体" w:eastAsia="宋体"/>
              </w:rPr>
              <w:t>的要求进行设计</w:t>
            </w:r>
            <w:r>
              <w:rPr>
                <w:rFonts w:asciiTheme="minorEastAsia" w:hAnsiTheme="minorEastAsia"/>
              </w:rPr>
              <w:t>。</w:t>
            </w:r>
          </w:p>
        </w:tc>
        <w:tc>
          <w:tcPr>
            <w:tcW w:w="4261" w:type="dxa"/>
            <w:shd w:val="clear" w:color="auto" w:fill="auto"/>
          </w:tcPr>
          <w:p w14:paraId="18B7BE5D">
            <w:r>
              <w:rPr>
                <w:rFonts w:asciiTheme="minorEastAsia" w:hAnsiTheme="minorEastAsia"/>
              </w:rPr>
              <w:t>8.2.1 医</w:t>
            </w:r>
            <w:r>
              <w:rPr>
                <w:rFonts w:ascii="宋体" w:hAnsi="宋体" w:eastAsia="宋体"/>
              </w:rPr>
              <w:t>疗场所供配电系统应根据</w:t>
            </w:r>
            <w:r>
              <w:rPr>
                <w:rFonts w:hint="eastAsia" w:ascii="宋体" w:hAnsi="宋体" w:eastAsia="宋体"/>
              </w:rPr>
              <w:t>医疗场所分类</w:t>
            </w:r>
            <w:r>
              <w:rPr>
                <w:rFonts w:hint="eastAsia" w:ascii="宋体" w:hAnsi="宋体" w:eastAsia="宋体"/>
                <w:u w:val="single"/>
              </w:rPr>
              <w:t>、</w:t>
            </w:r>
            <w:r>
              <w:rPr>
                <w:rFonts w:ascii="宋体" w:hAnsi="宋体" w:eastAsia="宋体"/>
                <w:iCs/>
                <w:u w:val="single"/>
              </w:rPr>
              <w:t>安全设施供电系统分级</w:t>
            </w:r>
            <w:r>
              <w:rPr>
                <w:rFonts w:hint="eastAsia" w:ascii="宋体" w:hAnsi="宋体" w:eastAsia="宋体"/>
                <w:iCs/>
                <w:u w:val="single"/>
              </w:rPr>
              <w:t>和</w:t>
            </w:r>
            <w:r>
              <w:rPr>
                <w:rFonts w:ascii="宋体" w:hAnsi="宋体" w:eastAsia="宋体"/>
                <w:iCs/>
                <w:u w:val="single"/>
              </w:rPr>
              <w:t>负荷分级</w:t>
            </w:r>
            <w:r>
              <w:rPr>
                <w:rFonts w:hint="eastAsia" w:ascii="宋体" w:hAnsi="宋体" w:eastAsia="宋体"/>
              </w:rPr>
              <w:t>的要求进行设计</w:t>
            </w:r>
            <w:r>
              <w:rPr>
                <w:rFonts w:asciiTheme="minorEastAsia" w:hAnsiTheme="minorEastAsia"/>
              </w:rPr>
              <w:t>。</w:t>
            </w:r>
          </w:p>
        </w:tc>
      </w:tr>
      <w:tr w14:paraId="5657B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D8272D8">
            <w:r>
              <w:rPr>
                <w:rFonts w:ascii="宋体" w:hAnsi="宋体" w:eastAsia="宋体"/>
              </w:rPr>
              <w:t>8.2.4 放</w:t>
            </w:r>
            <w:r>
              <w:rPr>
                <w:rFonts w:asciiTheme="minorEastAsia" w:hAnsiTheme="minorEastAsia"/>
              </w:rPr>
              <w:t>射科大型医疗设备的电源，</w:t>
            </w:r>
            <w:r>
              <w:rPr>
                <w:rFonts w:hint="eastAsia" w:asciiTheme="minorEastAsia" w:hAnsiTheme="minorEastAsia"/>
                <w:bdr w:val="single" w:color="auto" w:sz="4" w:space="0"/>
              </w:rPr>
              <w:t>应</w:t>
            </w:r>
            <w:r>
              <w:rPr>
                <w:rFonts w:asciiTheme="minorEastAsia" w:hAnsiTheme="minorEastAsia"/>
              </w:rPr>
              <w:t>由变电所单独供电</w:t>
            </w:r>
            <w:r>
              <w:rPr>
                <w:rFonts w:ascii="宋体" w:hAnsi="宋体" w:eastAsia="宋体"/>
              </w:rPr>
              <w:t>。</w:t>
            </w:r>
          </w:p>
        </w:tc>
        <w:tc>
          <w:tcPr>
            <w:tcW w:w="4261" w:type="dxa"/>
            <w:shd w:val="clear" w:color="auto" w:fill="auto"/>
          </w:tcPr>
          <w:p w14:paraId="507C9472">
            <w:r>
              <w:rPr>
                <w:rFonts w:ascii="宋体" w:hAnsi="宋体" w:eastAsia="宋体"/>
              </w:rPr>
              <w:t>8.2.4 放</w:t>
            </w:r>
            <w:r>
              <w:rPr>
                <w:rFonts w:asciiTheme="minorEastAsia" w:hAnsiTheme="minorEastAsia"/>
              </w:rPr>
              <w:t>射科</w:t>
            </w:r>
            <w:r>
              <w:rPr>
                <w:rFonts w:asciiTheme="minorEastAsia" w:hAnsiTheme="minorEastAsia"/>
                <w:u w:val="single"/>
              </w:rPr>
              <w:t>、放射治疗</w:t>
            </w:r>
            <w:r>
              <w:rPr>
                <w:rFonts w:asciiTheme="minorEastAsia" w:hAnsiTheme="minorEastAsia"/>
              </w:rPr>
              <w:t>大型医疗设备的电源，</w:t>
            </w:r>
            <w:r>
              <w:rPr>
                <w:rFonts w:asciiTheme="minorEastAsia" w:hAnsiTheme="minorEastAsia"/>
                <w:u w:val="single"/>
              </w:rPr>
              <w:t>宜</w:t>
            </w:r>
            <w:r>
              <w:rPr>
                <w:rFonts w:asciiTheme="minorEastAsia" w:hAnsiTheme="minorEastAsia"/>
              </w:rPr>
              <w:t>由变电所单独供电</w:t>
            </w:r>
            <w:r>
              <w:rPr>
                <w:rFonts w:ascii="宋体" w:hAnsi="宋体" w:eastAsia="宋体"/>
              </w:rPr>
              <w:t>。</w:t>
            </w:r>
          </w:p>
        </w:tc>
      </w:tr>
      <w:tr w14:paraId="61AE3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4C9BB9F">
            <w:pPr>
              <w:rPr>
                <w:rFonts w:ascii="宋体" w:hAnsi="宋体" w:eastAsia="宋体"/>
              </w:rPr>
            </w:pPr>
            <w:r>
              <w:rPr>
                <w:rFonts w:asciiTheme="minorEastAsia" w:hAnsiTheme="minorEastAsia"/>
              </w:rPr>
              <w:t>8.2.5 放射科、核医学科、功能检查科、检验科等部门的医疗设备电源，应分别设置切断电源的隔离电器。</w:t>
            </w:r>
          </w:p>
        </w:tc>
        <w:tc>
          <w:tcPr>
            <w:tcW w:w="4261" w:type="dxa"/>
            <w:shd w:val="clear" w:color="auto" w:fill="auto"/>
          </w:tcPr>
          <w:p w14:paraId="0A2FAA8A">
            <w:pPr>
              <w:rPr>
                <w:rFonts w:ascii="宋体" w:hAnsi="宋体" w:eastAsia="宋体"/>
              </w:rPr>
            </w:pPr>
            <w:r>
              <w:rPr>
                <w:rFonts w:asciiTheme="minorEastAsia" w:hAnsiTheme="minorEastAsia"/>
              </w:rPr>
              <w:t>8.2.5 放射科、</w:t>
            </w:r>
            <w:r>
              <w:rPr>
                <w:rFonts w:asciiTheme="minorEastAsia" w:hAnsiTheme="minorEastAsia"/>
                <w:u w:val="single"/>
              </w:rPr>
              <w:t>放射治疗、</w:t>
            </w:r>
            <w:r>
              <w:rPr>
                <w:rFonts w:asciiTheme="minorEastAsia" w:hAnsiTheme="minorEastAsia"/>
              </w:rPr>
              <w:t>核医学科、功能检查科、检验科等部门的医疗设备电源，应分别设置切断电源的隔离电器。</w:t>
            </w:r>
          </w:p>
        </w:tc>
      </w:tr>
      <w:tr w14:paraId="0A86F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E92CA20">
            <w:pPr>
              <w:jc w:val="center"/>
            </w:pPr>
            <w:bookmarkStart w:id="43" w:name="_Toc85880769"/>
            <w:bookmarkStart w:id="44" w:name="_Toc374793289"/>
            <w:r>
              <w:rPr>
                <w:rFonts w:ascii="宋体" w:hAnsi="宋体" w:eastAsia="宋体"/>
                <w:szCs w:val="28"/>
              </w:rPr>
              <w:t>8.3 安全</w:t>
            </w:r>
            <w:r>
              <w:rPr>
                <w:rFonts w:ascii="宋体" w:hAnsi="宋体" w:eastAsia="宋体"/>
                <w:szCs w:val="28"/>
                <w:bdr w:val="single" w:color="auto" w:sz="4" w:space="0"/>
              </w:rPr>
              <w:t>保</w:t>
            </w:r>
            <w:r>
              <w:rPr>
                <w:rFonts w:ascii="宋体" w:hAnsi="宋体" w:eastAsia="宋体"/>
                <w:szCs w:val="28"/>
              </w:rPr>
              <w:t>护</w:t>
            </w:r>
            <w:bookmarkEnd w:id="43"/>
            <w:bookmarkEnd w:id="44"/>
          </w:p>
        </w:tc>
        <w:tc>
          <w:tcPr>
            <w:tcW w:w="4261" w:type="dxa"/>
            <w:shd w:val="clear" w:color="auto" w:fill="auto"/>
          </w:tcPr>
          <w:p w14:paraId="606129A1">
            <w:pPr>
              <w:jc w:val="center"/>
            </w:pPr>
            <w:r>
              <w:rPr>
                <w:rFonts w:ascii="宋体" w:hAnsi="宋体" w:eastAsia="宋体"/>
                <w:szCs w:val="28"/>
              </w:rPr>
              <w:t>8.3 安全</w:t>
            </w:r>
            <w:r>
              <w:rPr>
                <w:rFonts w:ascii="宋体" w:hAnsi="宋体" w:eastAsia="宋体"/>
                <w:szCs w:val="28"/>
                <w:u w:val="single"/>
              </w:rPr>
              <w:t>防</w:t>
            </w:r>
            <w:r>
              <w:rPr>
                <w:rFonts w:ascii="宋体" w:hAnsi="宋体" w:eastAsia="宋体"/>
                <w:szCs w:val="28"/>
              </w:rPr>
              <w:t>护</w:t>
            </w:r>
          </w:p>
        </w:tc>
      </w:tr>
      <w:tr w14:paraId="04920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6BEC251">
            <w:pPr>
              <w:rPr>
                <w:rFonts w:ascii="宋体" w:hAnsi="宋体" w:eastAsia="宋体"/>
              </w:rPr>
            </w:pPr>
            <w:r>
              <w:rPr>
                <w:rFonts w:ascii="宋体" w:hAnsi="宋体" w:eastAsia="宋体"/>
              </w:rPr>
              <w:t>8.3.2 1</w:t>
            </w:r>
            <w:r>
              <w:rPr>
                <w:rFonts w:hint="eastAsia" w:ascii="宋体" w:hAnsi="宋体" w:eastAsia="宋体"/>
              </w:rPr>
              <w:t>类和</w:t>
            </w:r>
            <w:r>
              <w:rPr>
                <w:rFonts w:ascii="宋体" w:hAnsi="宋体" w:eastAsia="宋体"/>
              </w:rPr>
              <w:t>2</w:t>
            </w:r>
            <w:r>
              <w:rPr>
                <w:rFonts w:hint="eastAsia" w:ascii="宋体" w:hAnsi="宋体" w:eastAsia="宋体"/>
              </w:rPr>
              <w:t>类医疗场所</w:t>
            </w:r>
            <w:r>
              <w:rPr>
                <w:rFonts w:hint="eastAsia" w:ascii="宋体" w:hAnsi="宋体" w:eastAsia="宋体"/>
                <w:bdr w:val="single" w:color="auto" w:sz="4" w:space="0"/>
              </w:rPr>
              <w:t>应设防止间接触电的断电保护</w:t>
            </w:r>
            <w:r>
              <w:rPr>
                <w:rFonts w:hint="eastAsia" w:ascii="宋体" w:hAnsi="宋体" w:eastAsia="宋体"/>
              </w:rPr>
              <w:t>，</w:t>
            </w:r>
            <w:r>
              <w:rPr>
                <w:rFonts w:hint="eastAsia" w:ascii="宋体" w:hAnsi="宋体" w:eastAsia="宋体"/>
                <w:bdr w:val="single" w:color="auto" w:sz="4" w:space="0"/>
              </w:rPr>
              <w:t>并</w:t>
            </w:r>
            <w:r>
              <w:rPr>
                <w:rFonts w:hint="eastAsia" w:ascii="宋体" w:hAnsi="宋体" w:eastAsia="宋体"/>
              </w:rPr>
              <w:t>应符合下列要求：</w:t>
            </w:r>
          </w:p>
          <w:p w14:paraId="0F319F48">
            <w:pPr>
              <w:ind w:firstLine="480" w:firstLineChars="200"/>
              <w:rPr>
                <w:rFonts w:ascii="宋体" w:hAnsi="宋体" w:eastAsia="宋体"/>
              </w:rPr>
            </w:pPr>
            <w:r>
              <w:rPr>
                <w:rFonts w:ascii="宋体" w:hAnsi="宋体" w:eastAsia="宋体"/>
              </w:rPr>
              <w:t>1 IT</w:t>
            </w:r>
            <w:r>
              <w:rPr>
                <w:rFonts w:hint="eastAsia" w:ascii="宋体" w:hAnsi="宋体" w:eastAsia="宋体"/>
              </w:rPr>
              <w:t>、</w:t>
            </w:r>
            <w:r>
              <w:rPr>
                <w:rFonts w:ascii="宋体" w:hAnsi="宋体" w:eastAsia="宋体"/>
              </w:rPr>
              <w:t>TN</w:t>
            </w:r>
            <w:r>
              <w:rPr>
                <w:rFonts w:hint="eastAsia" w:ascii="宋体" w:hAnsi="宋体" w:eastAsia="宋体"/>
              </w:rPr>
              <w:t>、</w:t>
            </w:r>
            <w:r>
              <w:rPr>
                <w:rFonts w:ascii="宋体" w:hAnsi="宋体" w:eastAsia="宋体"/>
              </w:rPr>
              <w:t>TT</w:t>
            </w:r>
            <w:r>
              <w:rPr>
                <w:rFonts w:hint="eastAsia" w:ascii="宋体" w:hAnsi="宋体" w:eastAsia="宋体"/>
              </w:rPr>
              <w:t>系统，接触电压不应超过</w:t>
            </w:r>
            <w:r>
              <w:rPr>
                <w:rFonts w:ascii="宋体" w:hAnsi="宋体" w:eastAsia="宋体"/>
              </w:rPr>
              <w:t>25V</w:t>
            </w:r>
            <w:r>
              <w:rPr>
                <w:rFonts w:hint="eastAsia" w:ascii="宋体" w:hAnsi="宋体" w:eastAsia="宋体"/>
              </w:rPr>
              <w:t>。</w:t>
            </w:r>
          </w:p>
          <w:p w14:paraId="7DB83863">
            <w:pPr>
              <w:ind w:firstLine="480" w:firstLineChars="200"/>
              <w:rPr>
                <w:rFonts w:ascii="宋体" w:hAnsi="宋体" w:eastAsia="宋体"/>
              </w:rPr>
            </w:pPr>
            <w:r>
              <w:rPr>
                <w:rFonts w:ascii="宋体" w:hAnsi="宋体" w:eastAsia="宋体"/>
              </w:rPr>
              <w:t>2 TN</w:t>
            </w:r>
            <w:r>
              <w:rPr>
                <w:rFonts w:hint="eastAsia" w:ascii="宋体" w:hAnsi="宋体" w:eastAsia="宋体"/>
              </w:rPr>
              <w:t>系统</w:t>
            </w:r>
            <w:r>
              <w:rPr>
                <w:rFonts w:hint="eastAsia" w:ascii="宋体" w:hAnsi="宋体" w:eastAsia="宋体"/>
                <w:bdr w:val="single" w:color="auto" w:sz="4" w:space="0"/>
              </w:rPr>
              <w:t>最大分断时间</w:t>
            </w:r>
            <w:r>
              <w:rPr>
                <w:rFonts w:ascii="宋体" w:hAnsi="宋体" w:eastAsia="宋体"/>
                <w:bdr w:val="single" w:color="auto" w:sz="4" w:space="0"/>
              </w:rPr>
              <w:t>230V</w:t>
            </w:r>
            <w:r>
              <w:rPr>
                <w:rFonts w:hint="eastAsia" w:ascii="宋体" w:hAnsi="宋体" w:eastAsia="宋体"/>
                <w:bdr w:val="single" w:color="auto" w:sz="4" w:space="0"/>
              </w:rPr>
              <w:t>应为</w:t>
            </w:r>
            <w:r>
              <w:rPr>
                <w:rFonts w:ascii="宋体" w:hAnsi="宋体" w:eastAsia="宋体"/>
                <w:bdr w:val="single" w:color="auto" w:sz="4" w:space="0"/>
              </w:rPr>
              <w:t>0.2s</w:t>
            </w:r>
            <w:r>
              <w:rPr>
                <w:rFonts w:hint="eastAsia" w:ascii="宋体" w:hAnsi="宋体" w:eastAsia="宋体"/>
                <w:bdr w:val="single" w:color="auto" w:sz="4" w:space="0"/>
              </w:rPr>
              <w:t>，</w:t>
            </w:r>
            <w:r>
              <w:rPr>
                <w:rFonts w:ascii="宋体" w:hAnsi="宋体" w:eastAsia="宋体"/>
                <w:bdr w:val="single" w:color="auto" w:sz="4" w:space="0"/>
              </w:rPr>
              <w:t>400V</w:t>
            </w:r>
            <w:r>
              <w:rPr>
                <w:rFonts w:hint="eastAsia" w:ascii="宋体" w:hAnsi="宋体" w:eastAsia="宋体"/>
                <w:bdr w:val="single" w:color="auto" w:sz="4" w:space="0"/>
              </w:rPr>
              <w:t>应为</w:t>
            </w:r>
            <w:r>
              <w:rPr>
                <w:rFonts w:ascii="宋体" w:hAnsi="宋体" w:eastAsia="宋体"/>
                <w:bdr w:val="single" w:color="auto" w:sz="4" w:space="0"/>
              </w:rPr>
              <w:t>0.05s</w:t>
            </w:r>
            <w:r>
              <w:rPr>
                <w:rFonts w:hint="eastAsia" w:ascii="宋体" w:hAnsi="宋体" w:eastAsia="宋体"/>
              </w:rPr>
              <w:t>。</w:t>
            </w:r>
          </w:p>
          <w:p w14:paraId="1F5826C0">
            <w:pPr>
              <w:ind w:firstLine="480" w:firstLineChars="200"/>
            </w:pPr>
            <w:r>
              <w:rPr>
                <w:rFonts w:ascii="宋体" w:hAnsi="宋体" w:eastAsia="宋体"/>
                <w:bdr w:val="single" w:color="auto" w:sz="4" w:space="0"/>
              </w:rPr>
              <w:t>3 IT</w:t>
            </w:r>
            <w:r>
              <w:rPr>
                <w:rFonts w:hint="eastAsia" w:ascii="宋体" w:hAnsi="宋体" w:eastAsia="宋体"/>
                <w:bdr w:val="single" w:color="auto" w:sz="4" w:space="0"/>
              </w:rPr>
              <w:t>系统中性点不配出，最大分断时间</w:t>
            </w:r>
            <w:r>
              <w:rPr>
                <w:rFonts w:ascii="宋体" w:hAnsi="宋体" w:eastAsia="宋体"/>
                <w:bdr w:val="single" w:color="auto" w:sz="4" w:space="0"/>
              </w:rPr>
              <w:t>230V</w:t>
            </w:r>
            <w:r>
              <w:rPr>
                <w:rFonts w:hint="eastAsia" w:ascii="宋体" w:hAnsi="宋体" w:eastAsia="宋体"/>
                <w:bdr w:val="single" w:color="auto" w:sz="4" w:space="0"/>
              </w:rPr>
              <w:t>应为</w:t>
            </w:r>
            <w:r>
              <w:rPr>
                <w:rFonts w:ascii="宋体" w:hAnsi="宋体" w:eastAsia="宋体"/>
                <w:bdr w:val="single" w:color="auto" w:sz="4" w:space="0"/>
              </w:rPr>
              <w:t>0.2s</w:t>
            </w:r>
            <w:r>
              <w:rPr>
                <w:rFonts w:hint="eastAsia" w:ascii="宋体" w:hAnsi="宋体" w:eastAsia="宋体"/>
                <w:bdr w:val="single" w:color="auto" w:sz="4" w:space="0"/>
              </w:rPr>
              <w:t>。</w:t>
            </w:r>
          </w:p>
        </w:tc>
        <w:tc>
          <w:tcPr>
            <w:tcW w:w="4261" w:type="dxa"/>
            <w:shd w:val="clear" w:color="auto" w:fill="auto"/>
          </w:tcPr>
          <w:p w14:paraId="13D36619">
            <w:pPr>
              <w:rPr>
                <w:rFonts w:ascii="宋体" w:hAnsi="宋体" w:eastAsia="宋体"/>
              </w:rPr>
            </w:pPr>
            <w:r>
              <w:rPr>
                <w:rFonts w:ascii="宋体" w:hAnsi="宋体" w:eastAsia="宋体"/>
              </w:rPr>
              <w:t>8.3.2 1</w:t>
            </w:r>
            <w:r>
              <w:rPr>
                <w:rFonts w:hint="eastAsia" w:ascii="宋体" w:hAnsi="宋体" w:eastAsia="宋体"/>
              </w:rPr>
              <w:t>类和</w:t>
            </w:r>
            <w:r>
              <w:rPr>
                <w:rFonts w:ascii="宋体" w:hAnsi="宋体" w:eastAsia="宋体"/>
              </w:rPr>
              <w:t>2</w:t>
            </w:r>
            <w:r>
              <w:rPr>
                <w:rFonts w:hint="eastAsia" w:ascii="宋体" w:hAnsi="宋体" w:eastAsia="宋体"/>
              </w:rPr>
              <w:t>类医疗场所</w:t>
            </w:r>
            <w:r>
              <w:rPr>
                <w:rFonts w:hint="eastAsia" w:ascii="宋体" w:hAnsi="宋体" w:eastAsia="宋体"/>
                <w:u w:val="single"/>
              </w:rPr>
              <w:t>当不能采用利用过电流保护和剩余电流保护器（RCD）自动切断电源的防电击措施时</w:t>
            </w:r>
            <w:r>
              <w:rPr>
                <w:rFonts w:hint="eastAsia" w:ascii="宋体" w:hAnsi="宋体" w:eastAsia="宋体"/>
              </w:rPr>
              <w:t>，应符合下列要求：</w:t>
            </w:r>
          </w:p>
          <w:p w14:paraId="30009876">
            <w:pPr>
              <w:ind w:firstLine="480" w:firstLineChars="200"/>
              <w:rPr>
                <w:rFonts w:ascii="宋体" w:hAnsi="宋体" w:eastAsia="宋体"/>
              </w:rPr>
            </w:pPr>
            <w:r>
              <w:rPr>
                <w:rFonts w:ascii="宋体" w:hAnsi="宋体" w:eastAsia="宋体"/>
              </w:rPr>
              <w:t>1 IT</w:t>
            </w:r>
            <w:r>
              <w:rPr>
                <w:rFonts w:hint="eastAsia" w:ascii="宋体" w:hAnsi="宋体" w:eastAsia="宋体"/>
              </w:rPr>
              <w:t>、</w:t>
            </w:r>
            <w:r>
              <w:rPr>
                <w:rFonts w:ascii="宋体" w:hAnsi="宋体" w:eastAsia="宋体"/>
              </w:rPr>
              <w:t>TN</w:t>
            </w:r>
            <w:r>
              <w:rPr>
                <w:rFonts w:hint="eastAsia" w:ascii="宋体" w:hAnsi="宋体" w:eastAsia="宋体"/>
              </w:rPr>
              <w:t>、</w:t>
            </w:r>
            <w:r>
              <w:rPr>
                <w:rFonts w:ascii="宋体" w:hAnsi="宋体" w:eastAsia="宋体"/>
              </w:rPr>
              <w:t>TT</w:t>
            </w:r>
            <w:r>
              <w:rPr>
                <w:rFonts w:hint="eastAsia" w:ascii="宋体" w:hAnsi="宋体" w:eastAsia="宋体"/>
              </w:rPr>
              <w:t>系统，</w:t>
            </w:r>
            <w:r>
              <w:rPr>
                <w:rFonts w:hint="eastAsia" w:ascii="宋体" w:hAnsi="宋体" w:eastAsia="宋体"/>
                <w:u w:val="single"/>
              </w:rPr>
              <w:t>预期</w:t>
            </w:r>
            <w:r>
              <w:rPr>
                <w:rFonts w:hint="eastAsia" w:ascii="宋体" w:hAnsi="宋体" w:eastAsia="宋体"/>
              </w:rPr>
              <w:t>接触电压不应超过</w:t>
            </w:r>
            <w:r>
              <w:rPr>
                <w:rFonts w:hint="eastAsia" w:ascii="宋体" w:hAnsi="宋体" w:eastAsia="宋体"/>
                <w:u w:val="single"/>
              </w:rPr>
              <w:t>交流</w:t>
            </w:r>
            <w:r>
              <w:rPr>
                <w:rFonts w:ascii="宋体" w:hAnsi="宋体" w:eastAsia="宋体"/>
              </w:rPr>
              <w:t>25V</w:t>
            </w:r>
            <w:r>
              <w:rPr>
                <w:rFonts w:hint="eastAsia" w:ascii="宋体" w:hAnsi="宋体" w:eastAsia="宋体"/>
                <w:u w:val="single"/>
              </w:rPr>
              <w:t>或直流60V</w:t>
            </w:r>
            <w:r>
              <w:rPr>
                <w:rFonts w:hint="eastAsia" w:ascii="宋体" w:hAnsi="宋体" w:eastAsia="宋体"/>
              </w:rPr>
              <w:t>。</w:t>
            </w:r>
          </w:p>
          <w:p w14:paraId="21E5B65E">
            <w:pPr>
              <w:ind w:firstLine="480" w:firstLineChars="200"/>
            </w:pPr>
            <w:r>
              <w:rPr>
                <w:rFonts w:ascii="宋体" w:hAnsi="宋体" w:eastAsia="宋体"/>
              </w:rPr>
              <w:t>2 TN</w:t>
            </w:r>
            <w:r>
              <w:rPr>
                <w:rFonts w:hint="eastAsia" w:ascii="宋体" w:hAnsi="宋体" w:eastAsia="宋体"/>
              </w:rPr>
              <w:t>系统</w:t>
            </w:r>
            <w:r>
              <w:rPr>
                <w:rFonts w:hint="eastAsia" w:ascii="宋体" w:hAnsi="宋体" w:eastAsia="宋体"/>
                <w:u w:val="single"/>
              </w:rPr>
              <w:t>，应采用辅助等电位联结确保预期接触电压不超过交流25V或直流60V</w:t>
            </w:r>
            <w:r>
              <w:rPr>
                <w:rFonts w:hint="eastAsia" w:ascii="宋体" w:hAnsi="宋体" w:eastAsia="宋体"/>
              </w:rPr>
              <w:t>。</w:t>
            </w:r>
          </w:p>
        </w:tc>
      </w:tr>
      <w:tr w14:paraId="43791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626122C">
            <w:pPr>
              <w:rPr>
                <w:rFonts w:ascii="黑体" w:hAnsi="黑体" w:eastAsia="黑体"/>
                <w:b/>
              </w:rPr>
            </w:pPr>
            <w:r>
              <w:rPr>
                <w:rFonts w:hint="eastAsia" w:ascii="黑体" w:hAnsi="黑体" w:eastAsia="黑体"/>
                <w:b/>
                <w:iCs/>
              </w:rPr>
              <w:t>8.3.5</w:t>
            </w:r>
            <w:r>
              <w:rPr>
                <w:rFonts w:hint="eastAsia" w:ascii="黑体" w:hAnsi="黑体" w:eastAsia="黑体"/>
                <w:b/>
              </w:rPr>
              <w:t xml:space="preserve"> 除本规范第8.3.3条第2款所列的电气回路外，在2</w:t>
            </w:r>
            <w:r>
              <w:rPr>
                <w:rFonts w:hint="eastAsia" w:ascii="黑体" w:hAnsi="黑体" w:eastAsia="黑体"/>
                <w:b/>
                <w:iCs/>
              </w:rPr>
              <w:t>类医疗场所</w:t>
            </w:r>
            <w:r>
              <w:rPr>
                <w:rFonts w:hint="eastAsia" w:ascii="黑体" w:hAnsi="黑体" w:eastAsia="黑体"/>
                <w:b/>
              </w:rPr>
              <w:t>中维持患者生命、外科手术和其他位于“患者区域”范围内的电气装置和供电的回路，均应采用医用IT系统。当采用医用IT系统时，应符合下列要求：</w:t>
            </w:r>
          </w:p>
          <w:p w14:paraId="6D93E4E5">
            <w:pPr>
              <w:ind w:firstLine="482" w:firstLineChars="200"/>
              <w:rPr>
                <w:rFonts w:ascii="黑体" w:hAnsi="黑体" w:eastAsia="黑体"/>
                <w:b/>
              </w:rPr>
            </w:pPr>
            <w:r>
              <w:rPr>
                <w:rFonts w:hint="eastAsia" w:ascii="黑体" w:hAnsi="黑体" w:eastAsia="黑体"/>
                <w:b/>
              </w:rPr>
              <w:t>1 多个功能相同的毗邻房间，应至少安装1个独立的医用IT系统。</w:t>
            </w:r>
          </w:p>
          <w:p w14:paraId="5DC106E5">
            <w:pPr>
              <w:ind w:firstLine="482" w:firstLineChars="200"/>
              <w:rPr>
                <w:rFonts w:ascii="黑体" w:hAnsi="黑体" w:eastAsia="黑体"/>
                <w:b/>
              </w:rPr>
            </w:pPr>
            <w:r>
              <w:rPr>
                <w:rFonts w:hint="eastAsia" w:ascii="黑体" w:hAnsi="黑体" w:eastAsia="黑体"/>
                <w:b/>
              </w:rPr>
              <w:t>2 医用IT系统必须配置绝缘监视器</w:t>
            </w:r>
            <w:r>
              <w:rPr>
                <w:rFonts w:hint="eastAsia" w:ascii="黑体" w:hAnsi="黑体" w:eastAsia="黑体"/>
                <w:b/>
                <w:bdr w:val="single" w:color="auto" w:sz="4" w:space="0"/>
              </w:rPr>
              <w:t>，并应符合下列要求：</w:t>
            </w:r>
          </w:p>
          <w:p w14:paraId="51327A00">
            <w:pPr>
              <w:ind w:firstLine="482" w:firstLineChars="200"/>
              <w:rPr>
                <w:rFonts w:ascii="黑体" w:hAnsi="黑体" w:eastAsia="黑体"/>
                <w:b/>
                <w:bdr w:val="single" w:color="auto" w:sz="4" w:space="0"/>
              </w:rPr>
            </w:pPr>
            <w:r>
              <w:rPr>
                <w:rFonts w:hint="eastAsia" w:ascii="黑体" w:hAnsi="黑体" w:eastAsia="黑体"/>
                <w:b/>
                <w:bdr w:val="single" w:color="auto" w:sz="4" w:space="0"/>
              </w:rPr>
              <w:t>1）交流内阻应大于或等于100kΩ。</w:t>
            </w:r>
          </w:p>
          <w:p w14:paraId="187F20AD">
            <w:pPr>
              <w:ind w:firstLine="482" w:firstLineChars="200"/>
              <w:rPr>
                <w:rFonts w:ascii="黑体" w:hAnsi="黑体" w:eastAsia="黑体"/>
                <w:b/>
                <w:bdr w:val="single" w:color="auto" w:sz="4" w:space="0"/>
              </w:rPr>
            </w:pPr>
            <w:r>
              <w:rPr>
                <w:rFonts w:hint="eastAsia" w:ascii="黑体" w:hAnsi="黑体" w:eastAsia="黑体"/>
                <w:b/>
                <w:bdr w:val="single" w:color="auto" w:sz="4" w:space="0"/>
              </w:rPr>
              <w:t>2）测试电压不应大于直流25V。</w:t>
            </w:r>
          </w:p>
          <w:p w14:paraId="60155C0C">
            <w:pPr>
              <w:ind w:firstLine="482" w:firstLineChars="200"/>
              <w:rPr>
                <w:rFonts w:ascii="黑体" w:hAnsi="黑体" w:eastAsia="黑体"/>
                <w:b/>
                <w:bdr w:val="single" w:color="auto" w:sz="4" w:space="0"/>
              </w:rPr>
            </w:pPr>
            <w:r>
              <w:rPr>
                <w:rFonts w:hint="eastAsia" w:ascii="黑体" w:hAnsi="黑体" w:eastAsia="黑体"/>
                <w:b/>
                <w:bdr w:val="single" w:color="auto" w:sz="4" w:space="0"/>
              </w:rPr>
              <w:t>3）在任何故障条件下，测试电流峰值不应大于1mA。</w:t>
            </w:r>
          </w:p>
          <w:p w14:paraId="2E7911FA">
            <w:pPr>
              <w:ind w:firstLine="482" w:firstLineChars="200"/>
              <w:rPr>
                <w:rFonts w:ascii="黑体" w:hAnsi="黑体" w:eastAsia="黑体"/>
                <w:b/>
                <w:bdr w:val="single" w:color="auto" w:sz="4" w:space="0"/>
              </w:rPr>
            </w:pPr>
            <w:r>
              <w:rPr>
                <w:rFonts w:hint="eastAsia" w:ascii="黑体" w:hAnsi="黑体" w:eastAsia="黑体"/>
                <w:b/>
                <w:bdr w:val="single" w:color="auto" w:sz="4" w:space="0"/>
              </w:rPr>
              <w:t>4）当电阻减少到50kΩ时应发出信号，并备有试验设施。</w:t>
            </w:r>
          </w:p>
          <w:p w14:paraId="75B36096">
            <w:pPr>
              <w:ind w:firstLine="482" w:firstLineChars="200"/>
              <w:rPr>
                <w:rFonts w:ascii="黑体" w:hAnsi="黑体" w:eastAsia="黑体"/>
                <w:b/>
              </w:rPr>
            </w:pPr>
            <w:r>
              <w:rPr>
                <w:rFonts w:hint="eastAsia" w:ascii="黑体" w:hAnsi="黑体" w:eastAsia="黑体"/>
                <w:b/>
              </w:rPr>
              <w:t>3 每一个医用IT系统，应设置显示工作状态的信号灯和声光警报装置。声光警报装置应安装在便于永久性监视的场所。</w:t>
            </w:r>
          </w:p>
          <w:p w14:paraId="7CC1897A">
            <w:pPr>
              <w:ind w:firstLine="482" w:firstLineChars="200"/>
            </w:pPr>
            <w:r>
              <w:rPr>
                <w:rFonts w:hint="eastAsia" w:ascii="黑体" w:hAnsi="黑体" w:eastAsia="黑体"/>
                <w:b/>
              </w:rPr>
              <w:t>4 隔离变压器应设置过负荷和高温的监控。</w:t>
            </w:r>
          </w:p>
        </w:tc>
        <w:tc>
          <w:tcPr>
            <w:tcW w:w="4261" w:type="dxa"/>
            <w:shd w:val="clear" w:color="auto" w:fill="auto"/>
          </w:tcPr>
          <w:p w14:paraId="59A8F9A5">
            <w:pPr>
              <w:rPr>
                <w:rFonts w:ascii="黑体" w:hAnsi="黑体" w:eastAsia="黑体"/>
                <w:b/>
              </w:rPr>
            </w:pPr>
            <w:r>
              <w:rPr>
                <w:rFonts w:hint="eastAsia" w:ascii="黑体" w:hAnsi="黑体" w:eastAsia="黑体"/>
                <w:b/>
                <w:iCs/>
              </w:rPr>
              <w:t>8.3.5</w:t>
            </w:r>
            <w:r>
              <w:rPr>
                <w:rFonts w:hint="eastAsia" w:ascii="黑体" w:hAnsi="黑体" w:eastAsia="黑体"/>
                <w:b/>
              </w:rPr>
              <w:t xml:space="preserve"> 除本规范第8.3.3条第2款所列的电气回路外，在2</w:t>
            </w:r>
            <w:r>
              <w:rPr>
                <w:rFonts w:hint="eastAsia" w:ascii="黑体" w:hAnsi="黑体" w:eastAsia="黑体"/>
                <w:b/>
                <w:iCs/>
              </w:rPr>
              <w:t>类医疗场所</w:t>
            </w:r>
            <w:r>
              <w:rPr>
                <w:rFonts w:hint="eastAsia" w:ascii="黑体" w:hAnsi="黑体" w:eastAsia="黑体"/>
                <w:b/>
              </w:rPr>
              <w:t>中维持患者生命、外科手术和其他位于“患者区域”范围内的电气装置和供电的回路，均应采用医用IT系统。当采用医用IT系统时，应符合下列要求：</w:t>
            </w:r>
          </w:p>
          <w:p w14:paraId="427E2029">
            <w:pPr>
              <w:ind w:firstLine="482" w:firstLineChars="200"/>
              <w:rPr>
                <w:rFonts w:ascii="黑体" w:hAnsi="黑体" w:eastAsia="黑体"/>
                <w:b/>
              </w:rPr>
            </w:pPr>
            <w:r>
              <w:rPr>
                <w:rFonts w:hint="eastAsia" w:ascii="黑体" w:hAnsi="黑体" w:eastAsia="黑体"/>
                <w:b/>
              </w:rPr>
              <w:t>1 多个功能相同的毗邻房间，应至少安装1个独立的医用IT系统。</w:t>
            </w:r>
          </w:p>
          <w:p w14:paraId="7BA489FA">
            <w:pPr>
              <w:ind w:firstLine="482" w:firstLineChars="200"/>
              <w:rPr>
                <w:rFonts w:ascii="黑体" w:hAnsi="黑体" w:eastAsia="黑体"/>
                <w:b/>
              </w:rPr>
            </w:pPr>
            <w:r>
              <w:rPr>
                <w:rFonts w:hint="eastAsia" w:ascii="黑体" w:hAnsi="黑体" w:eastAsia="黑体"/>
                <w:b/>
              </w:rPr>
              <w:t>2 医用IT系统必须配置</w:t>
            </w:r>
            <w:r>
              <w:rPr>
                <w:rFonts w:hint="eastAsia" w:ascii="黑体" w:hAnsi="黑体" w:eastAsia="黑体"/>
                <w:b/>
                <w:u w:val="single"/>
              </w:rPr>
              <w:t>符合国家相关产品规范的医用</w:t>
            </w:r>
            <w:r>
              <w:rPr>
                <w:rFonts w:hint="eastAsia" w:ascii="黑体" w:hAnsi="黑体" w:eastAsia="黑体"/>
                <w:b/>
              </w:rPr>
              <w:t>绝缘监视器</w:t>
            </w:r>
            <w:r>
              <w:rPr>
                <w:rFonts w:hint="eastAsia" w:ascii="黑体" w:hAnsi="黑体" w:eastAsia="黑体"/>
                <w:b/>
                <w:u w:val="single"/>
              </w:rPr>
              <w:t>。</w:t>
            </w:r>
          </w:p>
          <w:p w14:paraId="74094E0F">
            <w:pPr>
              <w:ind w:firstLine="482" w:firstLineChars="200"/>
              <w:rPr>
                <w:rFonts w:ascii="黑体" w:hAnsi="黑体" w:eastAsia="黑体"/>
                <w:b/>
              </w:rPr>
            </w:pPr>
            <w:r>
              <w:rPr>
                <w:rFonts w:hint="eastAsia" w:ascii="黑体" w:hAnsi="黑体" w:eastAsia="黑体"/>
                <w:b/>
              </w:rPr>
              <w:t>3 每一个医用IT系统，应设置</w:t>
            </w:r>
            <w:r>
              <w:rPr>
                <w:rFonts w:hint="eastAsia" w:ascii="黑体" w:hAnsi="黑体" w:eastAsia="黑体"/>
                <w:b/>
                <w:u w:val="single"/>
              </w:rPr>
              <w:t>远程的</w:t>
            </w:r>
            <w:r>
              <w:rPr>
                <w:rFonts w:hint="eastAsia" w:ascii="黑体" w:hAnsi="黑体" w:eastAsia="黑体"/>
                <w:b/>
              </w:rPr>
              <w:t>显示工作状态的信号灯和声光警报装置。声光警报装置应安装在便于永久性监视的场所。</w:t>
            </w:r>
          </w:p>
          <w:p w14:paraId="24048565">
            <w:pPr>
              <w:ind w:firstLine="482" w:firstLineChars="200"/>
              <w:rPr>
                <w:rFonts w:ascii="黑体" w:hAnsi="黑体" w:eastAsia="黑体"/>
                <w:b/>
              </w:rPr>
            </w:pPr>
            <w:r>
              <w:rPr>
                <w:rFonts w:hint="eastAsia" w:ascii="黑体" w:hAnsi="黑体" w:eastAsia="黑体"/>
                <w:b/>
              </w:rPr>
              <w:t>4 隔离变压器应设置过负荷和高温的监控。</w:t>
            </w:r>
          </w:p>
          <w:p w14:paraId="5C7E358D">
            <w:pPr>
              <w:ind w:firstLine="482" w:firstLineChars="200"/>
              <w:rPr>
                <w:rFonts w:ascii="黑体" w:hAnsi="黑体" w:eastAsia="黑体"/>
                <w:b/>
                <w:u w:val="single"/>
              </w:rPr>
            </w:pPr>
            <w:r>
              <w:rPr>
                <w:rFonts w:ascii="黑体" w:hAnsi="黑体" w:eastAsia="黑体"/>
                <w:b/>
                <w:u w:val="single"/>
              </w:rPr>
              <w:t xml:space="preserve">5 </w:t>
            </w:r>
            <w:r>
              <w:rPr>
                <w:rFonts w:hint="eastAsia" w:ascii="黑体" w:hAnsi="黑体" w:eastAsia="黑体"/>
                <w:b/>
                <w:u w:val="single"/>
              </w:rPr>
              <w:t>医用</w:t>
            </w:r>
            <w:r>
              <w:rPr>
                <w:rFonts w:ascii="黑体" w:hAnsi="黑体" w:eastAsia="黑体"/>
                <w:b/>
                <w:u w:val="single"/>
              </w:rPr>
              <w:t>IT</w:t>
            </w:r>
            <w:r>
              <w:rPr>
                <w:rFonts w:hint="eastAsia" w:ascii="黑体" w:hAnsi="黑体" w:eastAsia="黑体"/>
                <w:b/>
                <w:u w:val="single"/>
              </w:rPr>
              <w:t>系统不得使用剩余电流保护器（</w:t>
            </w:r>
            <w:r>
              <w:rPr>
                <w:rFonts w:ascii="黑体" w:hAnsi="黑体" w:eastAsia="黑体"/>
                <w:b/>
                <w:u w:val="single"/>
              </w:rPr>
              <w:t>RCD）</w:t>
            </w:r>
            <w:r>
              <w:rPr>
                <w:rFonts w:hint="eastAsia" w:ascii="黑体" w:hAnsi="黑体" w:eastAsia="黑体"/>
                <w:b/>
                <w:u w:val="single"/>
              </w:rPr>
              <w:t>作为附加保护措施。</w:t>
            </w:r>
          </w:p>
          <w:p w14:paraId="6116D1BD">
            <w:pPr>
              <w:ind w:firstLine="482" w:firstLineChars="200"/>
            </w:pPr>
            <w:r>
              <w:rPr>
                <w:rFonts w:hint="eastAsia" w:ascii="黑体" w:hAnsi="黑体" w:eastAsia="黑体"/>
                <w:b/>
                <w:u w:val="single"/>
              </w:rPr>
              <w:t>6</w:t>
            </w:r>
            <w:r>
              <w:rPr>
                <w:rFonts w:ascii="黑体" w:hAnsi="黑体" w:eastAsia="黑体"/>
                <w:b/>
                <w:u w:val="single"/>
              </w:rPr>
              <w:t xml:space="preserve"> 抢救室</w:t>
            </w:r>
            <w:r>
              <w:rPr>
                <w:rFonts w:hint="eastAsia" w:ascii="黑体" w:hAnsi="黑体" w:eastAsia="黑体"/>
                <w:b/>
                <w:u w:val="single"/>
              </w:rPr>
              <w:t>、IC</w:t>
            </w:r>
            <w:r>
              <w:rPr>
                <w:rFonts w:ascii="黑体" w:hAnsi="黑体" w:eastAsia="黑体"/>
                <w:b/>
                <w:u w:val="single"/>
              </w:rPr>
              <w:t>U病床的</w:t>
            </w:r>
            <w:r>
              <w:rPr>
                <w:rFonts w:hint="eastAsia" w:ascii="黑体" w:hAnsi="黑体" w:eastAsia="黑体"/>
                <w:b/>
                <w:u w:val="single"/>
              </w:rPr>
              <w:t>医用</w:t>
            </w:r>
            <w:r>
              <w:rPr>
                <w:rFonts w:ascii="黑体" w:hAnsi="黑体" w:eastAsia="黑体"/>
                <w:b/>
                <w:u w:val="single"/>
              </w:rPr>
              <w:t>IT系统应</w:t>
            </w:r>
            <w:r>
              <w:rPr>
                <w:rFonts w:hint="eastAsia" w:ascii="黑体" w:hAnsi="黑体" w:eastAsia="黑体"/>
                <w:b/>
                <w:u w:val="single"/>
              </w:rPr>
              <w:t>配置绝</w:t>
            </w:r>
            <w:r>
              <w:rPr>
                <w:rFonts w:ascii="黑体" w:hAnsi="黑体" w:eastAsia="黑体"/>
                <w:b/>
                <w:u w:val="single"/>
              </w:rPr>
              <w:t>缘故障定位系统</w:t>
            </w:r>
            <w:r>
              <w:rPr>
                <w:rFonts w:hint="eastAsia" w:ascii="黑体" w:hAnsi="黑体" w:eastAsia="黑体"/>
                <w:b/>
                <w:u w:val="single"/>
              </w:rPr>
              <w:t>（</w:t>
            </w:r>
            <w:r>
              <w:rPr>
                <w:rFonts w:ascii="黑体" w:hAnsi="黑体" w:eastAsia="黑体"/>
                <w:b/>
                <w:u w:val="single"/>
              </w:rPr>
              <w:t>IFLS）</w:t>
            </w:r>
            <w:r>
              <w:rPr>
                <w:rFonts w:hint="eastAsia" w:ascii="黑体" w:hAnsi="黑体" w:eastAsia="黑体"/>
                <w:b/>
                <w:u w:val="single"/>
              </w:rPr>
              <w:t>，</w:t>
            </w:r>
            <w:r>
              <w:rPr>
                <w:rFonts w:ascii="黑体" w:hAnsi="黑体" w:eastAsia="黑体"/>
                <w:b/>
                <w:u w:val="single"/>
              </w:rPr>
              <w:t>其他场所的宜配置</w:t>
            </w:r>
            <w:r>
              <w:rPr>
                <w:rFonts w:hint="eastAsia" w:ascii="黑体" w:hAnsi="黑体" w:eastAsia="黑体"/>
                <w:b/>
                <w:u w:val="single"/>
              </w:rPr>
              <w:t>。</w:t>
            </w:r>
          </w:p>
        </w:tc>
      </w:tr>
      <w:tr w14:paraId="13084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77772E48">
            <w:r>
              <w:rPr>
                <w:rFonts w:hint="eastAsia" w:ascii="宋体" w:hAnsi="宋体" w:eastAsia="宋体"/>
              </w:rPr>
              <w:t>8.3.7 在2类医疗场所内，电源插座的保护导体端子、固定设备的保护导体端子或任何外界可导电部分与等电位联结母排之间导体的电阻（包括接头部分的电阻），不应超过0.2Ω。</w:t>
            </w:r>
          </w:p>
        </w:tc>
        <w:tc>
          <w:tcPr>
            <w:tcW w:w="4261" w:type="dxa"/>
            <w:shd w:val="clear" w:color="auto" w:fill="auto"/>
          </w:tcPr>
          <w:p w14:paraId="32376AC8">
            <w:r>
              <w:rPr>
                <w:rFonts w:hint="eastAsia" w:ascii="宋体" w:hAnsi="宋体" w:eastAsia="宋体"/>
              </w:rPr>
              <w:t>8.3.7 在</w:t>
            </w:r>
            <w:r>
              <w:rPr>
                <w:rFonts w:hint="eastAsia" w:ascii="宋体" w:hAnsi="宋体" w:eastAsia="宋体"/>
                <w:u w:val="single"/>
              </w:rPr>
              <w:t>1、</w:t>
            </w:r>
            <w:r>
              <w:rPr>
                <w:rFonts w:hint="eastAsia" w:ascii="宋体" w:hAnsi="宋体" w:eastAsia="宋体"/>
              </w:rPr>
              <w:t>2类医疗场所内，</w:t>
            </w:r>
            <w:r>
              <w:rPr>
                <w:rFonts w:hint="eastAsia" w:ascii="宋体" w:hAnsi="宋体" w:eastAsia="宋体"/>
                <w:u w:val="single"/>
              </w:rPr>
              <w:t>患者可同时触及的</w:t>
            </w:r>
            <w:r>
              <w:rPr>
                <w:rFonts w:hint="eastAsia" w:ascii="宋体" w:hAnsi="宋体" w:eastAsia="宋体"/>
              </w:rPr>
              <w:t>电源插座的保护导体端子、固定设备的保护导体端子或任何外界可导电部分，与等电位联结母排之间导体的电阻（包括接头部分的电阻），不应超过0.2Ω。</w:t>
            </w:r>
          </w:p>
        </w:tc>
      </w:tr>
      <w:tr w14:paraId="5C232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E9C0078">
            <w:r>
              <w:rPr>
                <w:rFonts w:ascii="宋体" w:hAnsi="宋体" w:eastAsia="宋体"/>
              </w:rPr>
              <w:t xml:space="preserve">8.3.8 </w:t>
            </w:r>
            <w:r>
              <w:rPr>
                <w:rFonts w:hint="eastAsia" w:ascii="宋体" w:hAnsi="宋体" w:eastAsia="宋体"/>
              </w:rPr>
              <w:t>辅助医用等电位母排应安装在使用场所内</w:t>
            </w:r>
            <w:r>
              <w:rPr>
                <w:rFonts w:ascii="宋体" w:hAnsi="宋体" w:eastAsia="宋体"/>
              </w:rPr>
              <w:t>，</w:t>
            </w:r>
            <w:r>
              <w:rPr>
                <w:rFonts w:hint="eastAsia" w:ascii="宋体" w:hAnsi="宋体" w:eastAsia="宋体"/>
                <w:bdr w:val="single" w:color="auto" w:sz="4" w:space="0"/>
              </w:rPr>
              <w:t>并应</w:t>
            </w:r>
            <w:r>
              <w:rPr>
                <w:rFonts w:ascii="宋体" w:hAnsi="宋体" w:eastAsia="宋体"/>
              </w:rPr>
              <w:t>靠近配电箱</w:t>
            </w:r>
            <w:r>
              <w:rPr>
                <w:rFonts w:ascii="宋体" w:hAnsi="宋体" w:eastAsia="宋体"/>
                <w:bdr w:val="single" w:color="auto" w:sz="4" w:space="0"/>
              </w:rPr>
              <w:t>或</w:t>
            </w:r>
            <w:r>
              <w:rPr>
                <w:rFonts w:ascii="宋体" w:hAnsi="宋体" w:eastAsia="宋体"/>
              </w:rPr>
              <w:t>在配电箱中。</w:t>
            </w:r>
          </w:p>
        </w:tc>
        <w:tc>
          <w:tcPr>
            <w:tcW w:w="4261" w:type="dxa"/>
            <w:shd w:val="clear" w:color="auto" w:fill="auto"/>
          </w:tcPr>
          <w:p w14:paraId="01CACCE5">
            <w:r>
              <w:rPr>
                <w:rFonts w:ascii="宋体" w:hAnsi="宋体" w:eastAsia="宋体"/>
              </w:rPr>
              <w:t xml:space="preserve">8.3.8 </w:t>
            </w:r>
            <w:r>
              <w:rPr>
                <w:rFonts w:hint="eastAsia" w:ascii="宋体" w:hAnsi="宋体" w:eastAsia="宋体"/>
              </w:rPr>
              <w:t>辅助医用等电位母排应安装在使用场所内</w:t>
            </w:r>
            <w:r>
              <w:rPr>
                <w:rFonts w:ascii="宋体" w:hAnsi="宋体" w:eastAsia="宋体"/>
              </w:rPr>
              <w:t>，靠近配电箱</w:t>
            </w:r>
            <w:r>
              <w:rPr>
                <w:rFonts w:ascii="宋体" w:hAnsi="宋体" w:eastAsia="宋体"/>
                <w:u w:val="single"/>
              </w:rPr>
              <w:t>的设</w:t>
            </w:r>
            <w:r>
              <w:rPr>
                <w:rFonts w:ascii="宋体" w:hAnsi="宋体" w:eastAsia="宋体"/>
              </w:rPr>
              <w:t>在配电箱中。</w:t>
            </w:r>
          </w:p>
        </w:tc>
      </w:tr>
      <w:tr w14:paraId="0FFEC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B1EEC7E"/>
        </w:tc>
        <w:tc>
          <w:tcPr>
            <w:tcW w:w="4261" w:type="dxa"/>
            <w:shd w:val="clear" w:color="auto" w:fill="auto"/>
          </w:tcPr>
          <w:p w14:paraId="7C637EA7">
            <w:r>
              <w:rPr>
                <w:rFonts w:ascii="宋体" w:hAnsi="宋体" w:eastAsia="宋体"/>
                <w:u w:val="single"/>
              </w:rPr>
              <w:t>8.3.8A</w:t>
            </w:r>
            <w:r>
              <w:rPr>
                <w:rFonts w:hint="eastAsia" w:ascii="宋体" w:hAnsi="宋体" w:eastAsia="宋体"/>
                <w:u w:val="single"/>
              </w:rPr>
              <w:t xml:space="preserve"> </w:t>
            </w:r>
            <w:r>
              <w:rPr>
                <w:rFonts w:ascii="宋体" w:hAnsi="宋体" w:eastAsia="宋体"/>
                <w:u w:val="single"/>
              </w:rPr>
              <w:t>医</w:t>
            </w:r>
            <w:r>
              <w:rPr>
                <w:rFonts w:hint="eastAsia" w:ascii="宋体" w:hAnsi="宋体" w:eastAsia="宋体"/>
                <w:u w:val="single"/>
              </w:rPr>
              <w:t>用IT系统中的供电回路不应使用电弧故障检测器（AFDD）。</w:t>
            </w:r>
          </w:p>
        </w:tc>
      </w:tr>
      <w:tr w14:paraId="1BD83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C3A41DE">
            <w:pPr>
              <w:jc w:val="center"/>
              <w:rPr>
                <w:rFonts w:asciiTheme="minorEastAsia" w:hAnsiTheme="minorEastAsia"/>
              </w:rPr>
            </w:pPr>
            <w:r>
              <w:rPr>
                <w:rFonts w:hint="eastAsia" w:asciiTheme="minorEastAsia" w:hAnsiTheme="minorEastAsia"/>
              </w:rPr>
              <w:t>8.4 电气设备的选择与安装</w:t>
            </w:r>
          </w:p>
        </w:tc>
        <w:tc>
          <w:tcPr>
            <w:tcW w:w="4261" w:type="dxa"/>
            <w:shd w:val="clear" w:color="auto" w:fill="auto"/>
          </w:tcPr>
          <w:p w14:paraId="21FDACBB">
            <w:pPr>
              <w:jc w:val="center"/>
              <w:rPr>
                <w:rFonts w:asciiTheme="minorEastAsia" w:hAnsiTheme="minorEastAsia"/>
              </w:rPr>
            </w:pPr>
            <w:r>
              <w:rPr>
                <w:rFonts w:hint="eastAsia" w:asciiTheme="minorEastAsia" w:hAnsiTheme="minorEastAsia"/>
              </w:rPr>
              <w:t>8.4 电气设备的选择与安装</w:t>
            </w:r>
          </w:p>
        </w:tc>
      </w:tr>
      <w:tr w14:paraId="08582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08B8E8F">
            <w:pPr>
              <w:rPr>
                <w:rFonts w:ascii="宋体" w:hAnsi="宋体" w:eastAsia="宋体"/>
              </w:rPr>
            </w:pPr>
            <w:r>
              <w:rPr>
                <w:rFonts w:ascii="宋体" w:hAnsi="宋体" w:eastAsia="宋体"/>
              </w:rPr>
              <w:t xml:space="preserve">8.4.1 </w:t>
            </w:r>
            <w:r>
              <w:rPr>
                <w:rFonts w:hint="eastAsia" w:ascii="宋体" w:hAnsi="宋体" w:eastAsia="宋体"/>
              </w:rPr>
              <w:t>医用IT系统隔离变压器</w:t>
            </w:r>
            <w:r>
              <w:rPr>
                <w:rFonts w:hint="eastAsia" w:ascii="宋体" w:hAnsi="宋体" w:eastAsia="宋体"/>
                <w:bdr w:val="single" w:color="auto" w:sz="4" w:space="0"/>
              </w:rPr>
              <w:t>，</w:t>
            </w:r>
            <w:r>
              <w:rPr>
                <w:rFonts w:ascii="宋体" w:hAnsi="宋体" w:eastAsia="宋体"/>
              </w:rPr>
              <w:t>应</w:t>
            </w:r>
            <w:r>
              <w:rPr>
                <w:rFonts w:ascii="宋体" w:hAnsi="宋体" w:eastAsia="宋体"/>
                <w:bdr w:val="single" w:color="auto" w:sz="4" w:space="0"/>
              </w:rPr>
              <w:t>符合</w:t>
            </w:r>
            <w:r>
              <w:rPr>
                <w:rFonts w:hint="eastAsia" w:ascii="宋体" w:hAnsi="宋体" w:eastAsia="宋体"/>
              </w:rPr>
              <w:t>下列</w:t>
            </w:r>
            <w:r>
              <w:rPr>
                <w:rFonts w:ascii="宋体" w:hAnsi="宋体" w:eastAsia="宋体"/>
              </w:rPr>
              <w:t>要求：</w:t>
            </w:r>
          </w:p>
          <w:p w14:paraId="14E8D519">
            <w:pPr>
              <w:ind w:firstLine="480" w:firstLineChars="200"/>
              <w:rPr>
                <w:rFonts w:ascii="宋体" w:hAnsi="宋体" w:eastAsia="宋体"/>
              </w:rPr>
            </w:pPr>
            <w:r>
              <w:rPr>
                <w:rFonts w:ascii="宋体" w:hAnsi="宋体" w:eastAsia="宋体"/>
              </w:rPr>
              <w:t>1 医用IT系统</w:t>
            </w:r>
            <w:r>
              <w:rPr>
                <w:rFonts w:hint="eastAsia" w:ascii="宋体" w:hAnsi="宋体" w:eastAsia="宋体"/>
              </w:rPr>
              <w:t>宜</w:t>
            </w:r>
            <w:r>
              <w:rPr>
                <w:rFonts w:ascii="宋体" w:hAnsi="宋体" w:eastAsia="宋体"/>
              </w:rPr>
              <w:t>采用单相变压器，其额定容量不应低于0.5kVA，且不宜超过8kVA；</w:t>
            </w:r>
          </w:p>
          <w:p w14:paraId="4343EF0E">
            <w:pPr>
              <w:ind w:firstLine="480" w:firstLineChars="200"/>
              <w:rPr>
                <w:rFonts w:ascii="宋体" w:hAnsi="宋体" w:eastAsia="宋体"/>
              </w:rPr>
            </w:pPr>
            <w:r>
              <w:rPr>
                <w:rFonts w:ascii="宋体" w:hAnsi="宋体" w:eastAsia="宋体"/>
              </w:rPr>
              <w:t>2 隔离变压器应靠近使用场所，并</w:t>
            </w:r>
            <w:r>
              <w:rPr>
                <w:rFonts w:hint="eastAsia" w:ascii="宋体" w:hAnsi="宋体" w:eastAsia="宋体"/>
              </w:rPr>
              <w:t>应</w:t>
            </w:r>
            <w:r>
              <w:rPr>
                <w:rFonts w:ascii="宋体" w:hAnsi="宋体" w:eastAsia="宋体"/>
              </w:rPr>
              <w:t>采取防护措施；</w:t>
            </w:r>
          </w:p>
          <w:p w14:paraId="2036D729">
            <w:pPr>
              <w:ind w:firstLine="480" w:firstLineChars="200"/>
              <w:rPr>
                <w:rFonts w:ascii="宋体" w:hAnsi="宋体" w:eastAsia="宋体"/>
              </w:rPr>
            </w:pPr>
            <w:r>
              <w:rPr>
                <w:rFonts w:ascii="宋体" w:hAnsi="宋体" w:eastAsia="宋体"/>
              </w:rPr>
              <w:t>3 隔离变压器二次侧的额定电压不应超过250V</w:t>
            </w:r>
            <w:r>
              <w:rPr>
                <w:rFonts w:ascii="宋体" w:hAnsi="宋体" w:eastAsia="宋体"/>
                <w:bdr w:val="single" w:color="auto" w:sz="4" w:space="0"/>
              </w:rPr>
              <w:t>；</w:t>
            </w:r>
          </w:p>
          <w:p w14:paraId="72E90906">
            <w:pPr>
              <w:ind w:firstLine="480" w:firstLineChars="200"/>
            </w:pPr>
            <w:r>
              <w:rPr>
                <w:rFonts w:ascii="宋体" w:hAnsi="宋体" w:eastAsia="宋体"/>
                <w:bdr w:val="single" w:color="auto" w:sz="4" w:space="0"/>
              </w:rPr>
              <w:t>4 当隔离变压器处于额定电压和额定频率下空载运行时，流向外壳或大地的漏电流不应超过0.5mA。</w:t>
            </w:r>
          </w:p>
        </w:tc>
        <w:tc>
          <w:tcPr>
            <w:tcW w:w="4261" w:type="dxa"/>
            <w:shd w:val="clear" w:color="auto" w:fill="auto"/>
          </w:tcPr>
          <w:p w14:paraId="710C0FCE">
            <w:pPr>
              <w:rPr>
                <w:rFonts w:ascii="宋体" w:hAnsi="宋体" w:eastAsia="宋体"/>
              </w:rPr>
            </w:pPr>
            <w:r>
              <w:rPr>
                <w:rFonts w:ascii="宋体" w:hAnsi="宋体" w:eastAsia="宋体"/>
              </w:rPr>
              <w:t xml:space="preserve">8.4.1 </w:t>
            </w:r>
            <w:r>
              <w:rPr>
                <w:rFonts w:hint="eastAsia" w:ascii="宋体" w:hAnsi="宋体" w:eastAsia="宋体"/>
              </w:rPr>
              <w:t>医用IT系统隔离变压器</w:t>
            </w:r>
            <w:r>
              <w:rPr>
                <w:rFonts w:ascii="宋体" w:hAnsi="宋体" w:eastAsia="宋体"/>
              </w:rPr>
              <w:t>应</w:t>
            </w:r>
            <w:r>
              <w:rPr>
                <w:rFonts w:hint="eastAsia" w:ascii="宋体" w:hAnsi="宋体" w:eastAsia="宋体"/>
                <w:u w:val="single"/>
              </w:rPr>
              <w:t>符合国家相关产品制造标准</w:t>
            </w:r>
            <w:r>
              <w:rPr>
                <w:rFonts w:ascii="宋体" w:hAnsi="宋体" w:eastAsia="宋体"/>
                <w:u w:val="single"/>
              </w:rPr>
              <w:t>，</w:t>
            </w:r>
            <w:r>
              <w:rPr>
                <w:rFonts w:hint="eastAsia" w:ascii="宋体" w:hAnsi="宋体" w:eastAsia="宋体"/>
                <w:u w:val="single"/>
              </w:rPr>
              <w:t>并满足</w:t>
            </w:r>
            <w:r>
              <w:rPr>
                <w:rFonts w:hint="eastAsia" w:ascii="宋体" w:hAnsi="宋体" w:eastAsia="宋体"/>
              </w:rPr>
              <w:t>下列</w:t>
            </w:r>
            <w:r>
              <w:rPr>
                <w:rFonts w:ascii="宋体" w:hAnsi="宋体" w:eastAsia="宋体"/>
              </w:rPr>
              <w:t>要求：</w:t>
            </w:r>
          </w:p>
          <w:p w14:paraId="76C74FF0">
            <w:pPr>
              <w:ind w:firstLine="480" w:firstLineChars="200"/>
              <w:rPr>
                <w:rFonts w:ascii="宋体" w:hAnsi="宋体" w:eastAsia="宋体"/>
              </w:rPr>
            </w:pPr>
            <w:r>
              <w:rPr>
                <w:rFonts w:ascii="宋体" w:hAnsi="宋体" w:eastAsia="宋体"/>
              </w:rPr>
              <w:t>1 医用IT系统</w:t>
            </w:r>
            <w:r>
              <w:rPr>
                <w:rFonts w:hint="eastAsia" w:ascii="宋体" w:hAnsi="宋体" w:eastAsia="宋体"/>
              </w:rPr>
              <w:t>宜</w:t>
            </w:r>
            <w:r>
              <w:rPr>
                <w:rFonts w:ascii="宋体" w:hAnsi="宋体" w:eastAsia="宋体"/>
              </w:rPr>
              <w:t>采用单相变压器，其额定容量不应低于0.5kVA，且不宜超过8kVA；</w:t>
            </w:r>
          </w:p>
          <w:p w14:paraId="57529F00">
            <w:pPr>
              <w:ind w:firstLine="480" w:firstLineChars="200"/>
              <w:rPr>
                <w:rFonts w:ascii="宋体" w:hAnsi="宋体" w:eastAsia="宋体"/>
              </w:rPr>
            </w:pPr>
            <w:r>
              <w:rPr>
                <w:rFonts w:ascii="宋体" w:hAnsi="宋体" w:eastAsia="宋体"/>
              </w:rPr>
              <w:t>2 隔离变压器应靠近使用场所，并</w:t>
            </w:r>
            <w:r>
              <w:rPr>
                <w:rFonts w:hint="eastAsia" w:ascii="宋体" w:hAnsi="宋体" w:eastAsia="宋体"/>
              </w:rPr>
              <w:t>应</w:t>
            </w:r>
            <w:r>
              <w:rPr>
                <w:rFonts w:ascii="宋体" w:hAnsi="宋体" w:eastAsia="宋体"/>
              </w:rPr>
              <w:t>采取防护措施；</w:t>
            </w:r>
          </w:p>
          <w:p w14:paraId="17AAA3BC">
            <w:pPr>
              <w:ind w:firstLine="480" w:firstLineChars="200"/>
            </w:pPr>
            <w:r>
              <w:rPr>
                <w:rFonts w:ascii="宋体" w:hAnsi="宋体" w:eastAsia="宋体"/>
              </w:rPr>
              <w:t>3 隔离变压器二次侧的额定电压不应超过250V</w:t>
            </w:r>
            <w:r>
              <w:rPr>
                <w:rFonts w:hint="eastAsia" w:ascii="宋体" w:hAnsi="宋体" w:eastAsia="宋体"/>
                <w:u w:val="single"/>
              </w:rPr>
              <w:t>。</w:t>
            </w:r>
          </w:p>
        </w:tc>
      </w:tr>
      <w:tr w14:paraId="27E64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394B7AA0"/>
        </w:tc>
        <w:tc>
          <w:tcPr>
            <w:tcW w:w="4261" w:type="dxa"/>
            <w:shd w:val="clear" w:color="auto" w:fill="auto"/>
          </w:tcPr>
          <w:p w14:paraId="1FAC1675">
            <w:r>
              <w:rPr>
                <w:rFonts w:ascii="宋体" w:hAnsi="宋体" w:eastAsia="宋体"/>
                <w:u w:val="single"/>
              </w:rPr>
              <w:t xml:space="preserve">8.4.1A </w:t>
            </w:r>
            <w:r>
              <w:rPr>
                <w:rFonts w:hint="eastAsia" w:ascii="宋体" w:hAnsi="宋体" w:eastAsia="宋体"/>
                <w:u w:val="single"/>
              </w:rPr>
              <w:t>医用</w:t>
            </w:r>
            <w:r>
              <w:rPr>
                <w:rFonts w:ascii="宋体" w:hAnsi="宋体" w:eastAsia="宋体"/>
                <w:u w:val="single"/>
              </w:rPr>
              <w:t>IT</w:t>
            </w:r>
            <w:r>
              <w:rPr>
                <w:rFonts w:hint="eastAsia" w:ascii="宋体" w:hAnsi="宋体" w:eastAsia="宋体"/>
                <w:u w:val="single"/>
              </w:rPr>
              <w:t>配电装置服务半径应限制在</w:t>
            </w:r>
            <w:r>
              <w:rPr>
                <w:rFonts w:ascii="宋体" w:hAnsi="宋体" w:eastAsia="宋体"/>
                <w:u w:val="single"/>
              </w:rPr>
              <w:t>25m</w:t>
            </w:r>
            <w:r>
              <w:rPr>
                <w:rFonts w:hint="eastAsia" w:ascii="宋体" w:hAnsi="宋体" w:eastAsia="宋体"/>
                <w:u w:val="single"/>
              </w:rPr>
              <w:t>以内。</w:t>
            </w:r>
          </w:p>
        </w:tc>
      </w:tr>
      <w:tr w14:paraId="45778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75F1771"/>
        </w:tc>
        <w:tc>
          <w:tcPr>
            <w:tcW w:w="4261" w:type="dxa"/>
            <w:shd w:val="clear" w:color="auto" w:fill="auto"/>
          </w:tcPr>
          <w:p w14:paraId="26131774">
            <w:r>
              <w:rPr>
                <w:rFonts w:ascii="宋体" w:hAnsi="宋体" w:eastAsia="宋体"/>
                <w:u w:val="single"/>
              </w:rPr>
              <w:t>8.4.1B 2</w:t>
            </w:r>
            <w:r>
              <w:rPr>
                <w:rFonts w:hint="eastAsia" w:ascii="宋体" w:hAnsi="宋体" w:eastAsia="宋体"/>
                <w:u w:val="single"/>
              </w:rPr>
              <w:t>类医疗场所的配电装置应与服务区域同一个防火分区，设在2类场所外并尽量贴近其服务区域。应采取安全防护措施，易于维护并有明确标识。</w:t>
            </w:r>
          </w:p>
        </w:tc>
      </w:tr>
      <w:tr w14:paraId="6B99B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15CE650B"/>
        </w:tc>
        <w:tc>
          <w:tcPr>
            <w:tcW w:w="4261" w:type="dxa"/>
            <w:shd w:val="clear" w:color="auto" w:fill="auto"/>
          </w:tcPr>
          <w:p w14:paraId="2A070D65">
            <w:r>
              <w:rPr>
                <w:rFonts w:ascii="宋体" w:hAnsi="宋体" w:eastAsia="宋体"/>
                <w:u w:val="single"/>
              </w:rPr>
              <w:t xml:space="preserve">8.4.3A </w:t>
            </w:r>
            <w:r>
              <w:rPr>
                <w:rFonts w:hint="eastAsia" w:ascii="宋体" w:hAnsi="宋体" w:eastAsia="宋体"/>
                <w:u w:val="single"/>
              </w:rPr>
              <w:t>2类医疗场所应确保任何预期的过电流保护的全选择性。</w:t>
            </w:r>
          </w:p>
        </w:tc>
      </w:tr>
      <w:tr w14:paraId="2B6B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02183C9E">
            <w:r>
              <w:rPr>
                <w:rFonts w:ascii="宋体" w:hAnsi="宋体" w:eastAsia="宋体"/>
              </w:rPr>
              <w:t>8.4.4 2类医疗场所内，医用IT系统二次侧各终端回路应设置双</w:t>
            </w:r>
            <w:r>
              <w:rPr>
                <w:rFonts w:ascii="宋体" w:hAnsi="宋体" w:eastAsia="宋体"/>
                <w:bdr w:val="single" w:color="auto" w:sz="4" w:space="0"/>
              </w:rPr>
              <w:t>级</w:t>
            </w:r>
            <w:r>
              <w:rPr>
                <w:rFonts w:ascii="宋体" w:hAnsi="宋体" w:eastAsia="宋体"/>
              </w:rPr>
              <w:t>保护装置</w:t>
            </w:r>
            <w:r>
              <w:rPr>
                <w:rFonts w:hint="eastAsia" w:ascii="宋体" w:hAnsi="宋体" w:eastAsia="宋体"/>
              </w:rPr>
              <w:t>，</w:t>
            </w:r>
            <w:r>
              <w:rPr>
                <w:rFonts w:ascii="宋体" w:hAnsi="宋体" w:eastAsia="宋体"/>
              </w:rPr>
              <w:t>应配置至少</w:t>
            </w:r>
            <w:r>
              <w:rPr>
                <w:rFonts w:hint="eastAsia" w:ascii="宋体" w:hAnsi="宋体" w:eastAsia="宋体"/>
              </w:rPr>
              <w:t>2</w:t>
            </w:r>
            <w:r>
              <w:rPr>
                <w:rFonts w:ascii="宋体" w:hAnsi="宋体" w:eastAsia="宋体"/>
              </w:rPr>
              <w:t>个独立回路供电的多个插座。每组插座回路，应独立设置短路保护，有条件</w:t>
            </w:r>
            <w:r>
              <w:rPr>
                <w:rFonts w:hint="eastAsia" w:ascii="宋体" w:hAnsi="宋体" w:eastAsia="宋体"/>
              </w:rPr>
              <w:t>时</w:t>
            </w:r>
            <w:r>
              <w:rPr>
                <w:rFonts w:ascii="宋体" w:hAnsi="宋体" w:eastAsia="宋体"/>
              </w:rPr>
              <w:t>可独立设置过负荷报警。医用IT系统插座应有固定、明显的标志。</w:t>
            </w:r>
          </w:p>
        </w:tc>
        <w:tc>
          <w:tcPr>
            <w:tcW w:w="4261" w:type="dxa"/>
            <w:shd w:val="clear" w:color="auto" w:fill="auto"/>
          </w:tcPr>
          <w:p w14:paraId="76DA2FDE">
            <w:r>
              <w:rPr>
                <w:rFonts w:ascii="宋体" w:hAnsi="宋体" w:eastAsia="宋体"/>
              </w:rPr>
              <w:t>8.4.4 2类医疗场所内，医用IT系统二次侧各终端回路应设置双</w:t>
            </w:r>
            <w:r>
              <w:rPr>
                <w:rFonts w:ascii="宋体" w:hAnsi="宋体" w:eastAsia="宋体"/>
                <w:u w:val="single"/>
              </w:rPr>
              <w:t>极</w:t>
            </w:r>
            <w:r>
              <w:rPr>
                <w:rFonts w:ascii="宋体" w:hAnsi="宋体" w:eastAsia="宋体"/>
              </w:rPr>
              <w:t>保护装置</w:t>
            </w:r>
            <w:r>
              <w:rPr>
                <w:rFonts w:hint="eastAsia" w:ascii="宋体" w:hAnsi="宋体" w:eastAsia="宋体"/>
              </w:rPr>
              <w:t>，</w:t>
            </w:r>
            <w:r>
              <w:rPr>
                <w:rFonts w:ascii="宋体" w:hAnsi="宋体" w:eastAsia="宋体"/>
              </w:rPr>
              <w:t>应配置至少</w:t>
            </w:r>
            <w:r>
              <w:rPr>
                <w:rFonts w:hint="eastAsia" w:ascii="宋体" w:hAnsi="宋体" w:eastAsia="宋体"/>
              </w:rPr>
              <w:t>2</w:t>
            </w:r>
            <w:r>
              <w:rPr>
                <w:rFonts w:ascii="宋体" w:hAnsi="宋体" w:eastAsia="宋体"/>
              </w:rPr>
              <w:t>个独立回路供电的多个插座。每组插座回路，应独立设置短路保护，有条件</w:t>
            </w:r>
            <w:r>
              <w:rPr>
                <w:rFonts w:hint="eastAsia" w:ascii="宋体" w:hAnsi="宋体" w:eastAsia="宋体"/>
              </w:rPr>
              <w:t>时</w:t>
            </w:r>
            <w:r>
              <w:rPr>
                <w:rFonts w:ascii="宋体" w:hAnsi="宋体" w:eastAsia="宋体"/>
              </w:rPr>
              <w:t>可独立设置过负荷报警。医用IT系统插座应有固定、明显的标志。</w:t>
            </w:r>
          </w:p>
        </w:tc>
      </w:tr>
      <w:tr w14:paraId="325A1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063CB74">
            <w:pPr>
              <w:jc w:val="center"/>
              <w:rPr>
                <w:rFonts w:asciiTheme="minorEastAsia" w:hAnsiTheme="minorEastAsia"/>
              </w:rPr>
            </w:pPr>
            <w:r>
              <w:rPr>
                <w:rFonts w:hint="eastAsia" w:asciiTheme="minorEastAsia" w:hAnsiTheme="minorEastAsia"/>
              </w:rPr>
              <w:t>8.5 安全电源系统</w:t>
            </w:r>
          </w:p>
        </w:tc>
        <w:tc>
          <w:tcPr>
            <w:tcW w:w="4261" w:type="dxa"/>
            <w:shd w:val="clear" w:color="auto" w:fill="auto"/>
          </w:tcPr>
          <w:p w14:paraId="1F80FC41">
            <w:pPr>
              <w:jc w:val="center"/>
              <w:rPr>
                <w:rFonts w:asciiTheme="minorEastAsia" w:hAnsiTheme="minorEastAsia"/>
              </w:rPr>
            </w:pPr>
            <w:r>
              <w:rPr>
                <w:rFonts w:hint="eastAsia" w:asciiTheme="minorEastAsia" w:hAnsiTheme="minorEastAsia"/>
              </w:rPr>
              <w:t>8.5 安全</w:t>
            </w:r>
            <w:r>
              <w:rPr>
                <w:rFonts w:hint="eastAsia" w:ascii="宋体" w:hAnsi="宋体" w:eastAsia="宋体"/>
                <w:szCs w:val="28"/>
                <w:u w:val="single"/>
              </w:rPr>
              <w:t>设施</w:t>
            </w:r>
            <w:r>
              <w:rPr>
                <w:rFonts w:hint="eastAsia" w:asciiTheme="minorEastAsia" w:hAnsiTheme="minorEastAsia"/>
              </w:rPr>
              <w:t>电源系统</w:t>
            </w:r>
          </w:p>
        </w:tc>
      </w:tr>
      <w:tr w14:paraId="47605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4656F317">
            <w:pPr>
              <w:rPr>
                <w:rFonts w:ascii="宋体" w:hAnsi="宋体" w:eastAsia="宋体"/>
                <w:bCs/>
                <w:bdr w:val="single" w:color="auto" w:sz="4" w:space="0"/>
              </w:rPr>
            </w:pPr>
            <w:r>
              <w:rPr>
                <w:rFonts w:ascii="宋体" w:hAnsi="宋体" w:eastAsia="宋体"/>
                <w:bCs/>
              </w:rPr>
              <w:t>8.5.1</w:t>
            </w:r>
            <w:r>
              <w:rPr>
                <w:rFonts w:hint="eastAsia" w:ascii="宋体" w:hAnsi="宋体" w:eastAsia="宋体"/>
                <w:bCs/>
              </w:rPr>
              <w:t xml:space="preserve"> </w:t>
            </w:r>
            <w:r>
              <w:rPr>
                <w:rFonts w:ascii="宋体" w:hAnsi="宋体" w:eastAsia="宋体"/>
                <w:bCs/>
                <w:bdr w:val="single" w:color="auto" w:sz="4" w:space="0"/>
              </w:rPr>
              <w:t>1类和2类医疗场所内，任一导体上的电压下降值高于标准电压10%时，安全电源应自动启动。安全电源的</w:t>
            </w:r>
            <w:r>
              <w:rPr>
                <w:rFonts w:hint="eastAsia" w:ascii="宋体" w:hAnsi="宋体" w:eastAsia="宋体"/>
                <w:bCs/>
                <w:bdr w:val="single" w:color="auto" w:sz="4" w:space="0"/>
              </w:rPr>
              <w:t>分类应符合</w:t>
            </w:r>
            <w:r>
              <w:rPr>
                <w:rFonts w:ascii="宋体" w:hAnsi="宋体" w:eastAsia="宋体"/>
                <w:bCs/>
                <w:bdr w:val="single" w:color="auto" w:sz="4" w:space="0"/>
              </w:rPr>
              <w:t>表</w:t>
            </w:r>
            <w:r>
              <w:rPr>
                <w:rFonts w:hint="eastAsia" w:ascii="宋体" w:hAnsi="宋体" w:eastAsia="宋体"/>
                <w:bCs/>
                <w:bdr w:val="single" w:color="auto" w:sz="4" w:space="0"/>
              </w:rPr>
              <w:t>8.5.1的规定</w:t>
            </w:r>
            <w:r>
              <w:rPr>
                <w:rFonts w:ascii="宋体" w:hAnsi="宋体" w:eastAsia="宋体"/>
                <w:bCs/>
                <w:bdr w:val="single" w:color="auto" w:sz="4" w:space="0"/>
              </w:rPr>
              <w:t>。</w:t>
            </w:r>
          </w:p>
          <w:p w14:paraId="10B88DF4">
            <w:pPr>
              <w:jc w:val="center"/>
              <w:rPr>
                <w:rFonts w:ascii="宋体" w:hAnsi="宋体" w:eastAsia="宋体"/>
                <w:b/>
                <w:bCs/>
                <w:sz w:val="18"/>
                <w:szCs w:val="18"/>
                <w:bdr w:val="single" w:color="auto" w:sz="4" w:space="0"/>
              </w:rPr>
            </w:pPr>
            <w:r>
              <w:rPr>
                <w:rFonts w:ascii="宋体" w:hAnsi="宋体" w:eastAsia="宋体"/>
                <w:b/>
                <w:bCs/>
                <w:sz w:val="18"/>
                <w:szCs w:val="18"/>
                <w:bdr w:val="single" w:color="auto" w:sz="4" w:space="0"/>
              </w:rPr>
              <w:t>表</w:t>
            </w:r>
            <w:r>
              <w:rPr>
                <w:rFonts w:hint="eastAsia" w:ascii="宋体" w:hAnsi="宋体" w:eastAsia="宋体"/>
                <w:b/>
                <w:bCs/>
                <w:sz w:val="18"/>
                <w:szCs w:val="18"/>
                <w:bdr w:val="single" w:color="auto" w:sz="4" w:space="0"/>
              </w:rPr>
              <w:t>8.5.1</w:t>
            </w:r>
            <w:r>
              <w:rPr>
                <w:rFonts w:ascii="宋体" w:hAnsi="宋体" w:eastAsia="宋体"/>
                <w:b/>
                <w:bCs/>
                <w:sz w:val="18"/>
                <w:szCs w:val="18"/>
                <w:bdr w:val="single" w:color="auto" w:sz="4" w:space="0"/>
              </w:rPr>
              <w:t xml:space="preserve"> 安全电源的分类</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92"/>
              <w:gridCol w:w="1643"/>
            </w:tblGrid>
            <w:tr w14:paraId="201F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64" w:type="pct"/>
                  <w:vAlign w:val="center"/>
                </w:tcPr>
                <w:p w14:paraId="132A7FE4">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0级（不间断）</w:t>
                  </w:r>
                </w:p>
              </w:tc>
              <w:tc>
                <w:tcPr>
                  <w:tcW w:w="2036" w:type="pct"/>
                  <w:vAlign w:val="center"/>
                </w:tcPr>
                <w:p w14:paraId="607914C9">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不间断自动供电</w:t>
                  </w:r>
                </w:p>
              </w:tc>
            </w:tr>
            <w:tr w14:paraId="6EBF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64" w:type="pct"/>
                  <w:vAlign w:val="center"/>
                </w:tcPr>
                <w:p w14:paraId="6982B4B0">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0.15级（极短时间间隔）</w:t>
                  </w:r>
                </w:p>
              </w:tc>
              <w:tc>
                <w:tcPr>
                  <w:tcW w:w="2036" w:type="pct"/>
                  <w:vAlign w:val="center"/>
                </w:tcPr>
                <w:p w14:paraId="565AA6D8">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0.15s之内自动恢复有效供电</w:t>
                  </w:r>
                </w:p>
              </w:tc>
            </w:tr>
            <w:tr w14:paraId="7C3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64" w:type="pct"/>
                  <w:vAlign w:val="center"/>
                </w:tcPr>
                <w:p w14:paraId="433765E4">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0.5级（短时间间隔）</w:t>
                  </w:r>
                </w:p>
              </w:tc>
              <w:tc>
                <w:tcPr>
                  <w:tcW w:w="2036" w:type="pct"/>
                  <w:vAlign w:val="center"/>
                </w:tcPr>
                <w:p w14:paraId="3F4CB12C">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0.5s之内自动恢复有效供电</w:t>
                  </w:r>
                </w:p>
              </w:tc>
            </w:tr>
            <w:tr w14:paraId="303C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64" w:type="pct"/>
                  <w:vAlign w:val="center"/>
                </w:tcPr>
                <w:p w14:paraId="34429DB2">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15级（中等间隔）</w:t>
                  </w:r>
                </w:p>
              </w:tc>
              <w:tc>
                <w:tcPr>
                  <w:tcW w:w="2036" w:type="pct"/>
                  <w:vAlign w:val="center"/>
                </w:tcPr>
                <w:p w14:paraId="7AA893D8">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15s之内自动恢复有效供电</w:t>
                  </w:r>
                </w:p>
              </w:tc>
            </w:tr>
            <w:tr w14:paraId="5EBF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64" w:type="pct"/>
                  <w:vAlign w:val="center"/>
                </w:tcPr>
                <w:p w14:paraId="285273D2">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大于15级（长时间间隔）</w:t>
                  </w:r>
                </w:p>
              </w:tc>
              <w:tc>
                <w:tcPr>
                  <w:tcW w:w="2036" w:type="pct"/>
                  <w:vAlign w:val="center"/>
                </w:tcPr>
                <w:p w14:paraId="7E31FCE0">
                  <w:pPr>
                    <w:spacing w:line="240" w:lineRule="auto"/>
                    <w:ind w:left="120" w:leftChars="50" w:right="120" w:rightChars="50"/>
                    <w:jc w:val="center"/>
                    <w:outlineLvl w:val="1"/>
                    <w:rPr>
                      <w:rFonts w:ascii="宋体" w:hAnsi="宋体" w:eastAsia="宋体"/>
                      <w:bCs/>
                      <w:sz w:val="18"/>
                      <w:szCs w:val="18"/>
                      <w:bdr w:val="single" w:color="auto" w:sz="4" w:space="0"/>
                    </w:rPr>
                  </w:pPr>
                  <w:r>
                    <w:rPr>
                      <w:rFonts w:ascii="宋体" w:hAnsi="宋体" w:eastAsia="宋体"/>
                      <w:bCs/>
                      <w:sz w:val="18"/>
                      <w:szCs w:val="18"/>
                      <w:bdr w:val="single" w:color="auto" w:sz="4" w:space="0"/>
                    </w:rPr>
                    <w:t>大于15s后自动恢复有效供电</w:t>
                  </w:r>
                </w:p>
              </w:tc>
            </w:tr>
          </w:tbl>
          <w:p w14:paraId="66A4B414"/>
        </w:tc>
        <w:tc>
          <w:tcPr>
            <w:tcW w:w="4261" w:type="dxa"/>
            <w:shd w:val="clear" w:color="auto" w:fill="auto"/>
          </w:tcPr>
          <w:p w14:paraId="579D44AC">
            <w:r>
              <w:rPr>
                <w:rFonts w:ascii="宋体" w:hAnsi="宋体" w:eastAsia="宋体"/>
                <w:bCs/>
              </w:rPr>
              <w:t>8.5.1</w:t>
            </w:r>
            <w:r>
              <w:rPr>
                <w:rFonts w:hint="eastAsia" w:ascii="宋体" w:hAnsi="宋体" w:eastAsia="宋体"/>
                <w:bCs/>
              </w:rPr>
              <w:t xml:space="preserve"> </w:t>
            </w:r>
            <w:r>
              <w:rPr>
                <w:rFonts w:hint="eastAsia" w:ascii="宋体" w:hAnsi="宋体" w:eastAsia="宋体"/>
                <w:bCs/>
                <w:u w:val="single"/>
              </w:rPr>
              <w:t>当C级安全设施配电箱电压下降到标准电压85%时，安全设施电源应在0.5s切换时间内自动连接，持续时间为3小时。当设有后备独立安全设施电源时可为1小时。当E级安全设施配电箱电压下降到标准电压85%且持续3s以上，安全设施电源应在15s切换时间内自动连接，持续时间3-24小时。F级安全设施，当配电箱失电后，自动（或手动）连接到安全设施电源上，持续时间24小时或及以上。</w:t>
            </w:r>
          </w:p>
        </w:tc>
      </w:tr>
      <w:tr w14:paraId="4FFA5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6533D07">
            <w:pPr>
              <w:pStyle w:val="56"/>
              <w:spacing w:before="0" w:beforeLines="0" w:after="0" w:afterLines="0" w:line="360" w:lineRule="auto"/>
              <w:jc w:val="both"/>
              <w:outlineLvl w:val="9"/>
              <w:rPr>
                <w:rFonts w:asciiTheme="minorEastAsia" w:hAnsiTheme="minorEastAsia" w:eastAsiaTheme="minorEastAsia"/>
                <w:b w:val="0"/>
              </w:rPr>
            </w:pPr>
            <w:r>
              <w:rPr>
                <w:rFonts w:hint="eastAsia" w:asciiTheme="minorEastAsia" w:hAnsiTheme="minorEastAsia" w:eastAsiaTheme="minorEastAsia"/>
                <w:b w:val="0"/>
              </w:rPr>
              <w:t>8.5.2 当主电源故障时，下列场所应由安全电源提供最低照度的照明用电。安全照明系统切换时间不应超过15s：</w:t>
            </w:r>
          </w:p>
          <w:p w14:paraId="5259299B">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bdr w:val="single" w:color="auto" w:sz="4" w:space="0"/>
              </w:rPr>
            </w:pPr>
            <w:r>
              <w:rPr>
                <w:rFonts w:hint="eastAsia" w:asciiTheme="minorEastAsia" w:hAnsiTheme="minorEastAsia" w:eastAsiaTheme="minorEastAsia"/>
                <w:b w:val="0"/>
                <w:bdr w:val="single" w:color="auto" w:sz="4" w:space="0"/>
              </w:rPr>
              <w:t>1 疏散通道以及出口指示照明；</w:t>
            </w:r>
          </w:p>
          <w:p w14:paraId="419E0702">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bdr w:val="single" w:color="auto" w:sz="4" w:space="0"/>
              </w:rPr>
            </w:pPr>
            <w:r>
              <w:rPr>
                <w:rFonts w:hint="eastAsia" w:asciiTheme="minorEastAsia" w:hAnsiTheme="minorEastAsia" w:eastAsiaTheme="minorEastAsia"/>
                <w:b w:val="0"/>
                <w:bdr w:val="single" w:color="auto" w:sz="4" w:space="0"/>
              </w:rPr>
              <w:t>2 安全电源和正常电源的配电装置及其控制装置所在场所；</w:t>
            </w:r>
          </w:p>
          <w:p w14:paraId="667FC08D">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rPr>
            </w:pPr>
            <w:r>
              <w:rPr>
                <w:rFonts w:hint="eastAsia" w:asciiTheme="minorEastAsia" w:hAnsiTheme="minorEastAsia" w:eastAsiaTheme="minorEastAsia"/>
                <w:b w:val="0"/>
                <w:bdr w:val="single" w:color="auto" w:sz="4" w:space="0"/>
              </w:rPr>
              <w:t>3</w:t>
            </w:r>
            <w:r>
              <w:rPr>
                <w:rFonts w:hint="eastAsia" w:asciiTheme="minorEastAsia" w:hAnsiTheme="minorEastAsia" w:eastAsiaTheme="minorEastAsia"/>
                <w:b w:val="0"/>
              </w:rPr>
              <w:t xml:space="preserve"> 拟装重要医疗设备的房间，每个房间应至少有1个由安全电源供电的灯具；</w:t>
            </w:r>
          </w:p>
          <w:p w14:paraId="4E0ABF7B">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rPr>
            </w:pPr>
            <w:r>
              <w:rPr>
                <w:rFonts w:hint="eastAsia" w:asciiTheme="minorEastAsia" w:hAnsiTheme="minorEastAsia" w:eastAsiaTheme="minorEastAsia"/>
                <w:b w:val="0"/>
                <w:bdr w:val="single" w:color="auto" w:sz="4" w:space="0"/>
              </w:rPr>
              <w:t>4</w:t>
            </w:r>
            <w:r>
              <w:rPr>
                <w:rFonts w:hint="eastAsia" w:asciiTheme="minorEastAsia" w:hAnsiTheme="minorEastAsia" w:eastAsiaTheme="minorEastAsia"/>
                <w:b w:val="0"/>
              </w:rPr>
              <w:t xml:space="preserve"> 在1类医疗场所，每个房间宜有1个由安全电源供电的灯具；</w:t>
            </w:r>
          </w:p>
          <w:p w14:paraId="0D60BEDC">
            <w:pPr>
              <w:pStyle w:val="56"/>
              <w:spacing w:before="0" w:beforeLines="0" w:after="0" w:afterLines="0" w:line="360" w:lineRule="auto"/>
              <w:ind w:left="120" w:leftChars="50" w:right="120" w:rightChars="50" w:firstLine="480" w:firstLineChars="200"/>
              <w:jc w:val="both"/>
              <w:outlineLvl w:val="9"/>
            </w:pPr>
            <w:r>
              <w:rPr>
                <w:rFonts w:hint="eastAsia" w:asciiTheme="minorEastAsia" w:hAnsiTheme="minorEastAsia" w:eastAsiaTheme="minorEastAsia"/>
                <w:b w:val="0"/>
                <w:bdr w:val="single" w:color="auto" w:sz="4" w:space="0"/>
              </w:rPr>
              <w:t>5</w:t>
            </w:r>
            <w:r>
              <w:rPr>
                <w:rFonts w:hint="eastAsia" w:asciiTheme="minorEastAsia" w:hAnsiTheme="minorEastAsia" w:eastAsiaTheme="minorEastAsia"/>
                <w:b w:val="0"/>
              </w:rPr>
              <w:t xml:space="preserve"> 在2类医疗场所，电源应至少能提供50％的照度。</w:t>
            </w:r>
          </w:p>
        </w:tc>
        <w:tc>
          <w:tcPr>
            <w:tcW w:w="4261" w:type="dxa"/>
            <w:shd w:val="clear" w:color="auto" w:fill="auto"/>
          </w:tcPr>
          <w:p w14:paraId="5386A3FC">
            <w:pPr>
              <w:pStyle w:val="56"/>
              <w:spacing w:before="0" w:beforeLines="0" w:after="0" w:afterLines="0" w:line="360" w:lineRule="auto"/>
              <w:jc w:val="both"/>
              <w:outlineLvl w:val="9"/>
              <w:rPr>
                <w:rFonts w:asciiTheme="minorEastAsia" w:hAnsiTheme="minorEastAsia" w:eastAsiaTheme="minorEastAsia"/>
                <w:b w:val="0"/>
              </w:rPr>
            </w:pPr>
            <w:r>
              <w:rPr>
                <w:rFonts w:hint="eastAsia" w:asciiTheme="minorEastAsia" w:hAnsiTheme="minorEastAsia" w:eastAsiaTheme="minorEastAsia"/>
                <w:b w:val="0"/>
              </w:rPr>
              <w:t>8.5.2 当主电源故障时，下列场所应由安全电源提供最低照度的照明用电。安全照明系统切换时间不应超过15s：</w:t>
            </w:r>
          </w:p>
          <w:p w14:paraId="6F4DDEE0">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rPr>
            </w:pPr>
            <w:r>
              <w:rPr>
                <w:rFonts w:asciiTheme="minorEastAsia" w:hAnsiTheme="minorEastAsia" w:eastAsiaTheme="minorEastAsia"/>
                <w:b w:val="0"/>
                <w:u w:val="single"/>
              </w:rPr>
              <w:t>1</w:t>
            </w:r>
            <w:r>
              <w:rPr>
                <w:rFonts w:hint="eastAsia" w:asciiTheme="minorEastAsia" w:hAnsiTheme="minorEastAsia" w:eastAsiaTheme="minorEastAsia"/>
                <w:b w:val="0"/>
              </w:rPr>
              <w:t xml:space="preserve"> 拟装重要医疗设备的房间，每个房间应至少有1个由安全电源供电的灯具；</w:t>
            </w:r>
          </w:p>
          <w:p w14:paraId="196C1989">
            <w:pPr>
              <w:pStyle w:val="56"/>
              <w:spacing w:before="0" w:beforeLines="0" w:after="0" w:afterLines="0" w:line="360" w:lineRule="auto"/>
              <w:ind w:left="120" w:leftChars="50" w:right="120" w:rightChars="50" w:firstLine="480" w:firstLineChars="200"/>
              <w:jc w:val="both"/>
              <w:outlineLvl w:val="9"/>
              <w:rPr>
                <w:rFonts w:asciiTheme="minorEastAsia" w:hAnsiTheme="minorEastAsia" w:eastAsiaTheme="minorEastAsia"/>
                <w:b w:val="0"/>
              </w:rPr>
            </w:pPr>
            <w:r>
              <w:rPr>
                <w:rFonts w:asciiTheme="minorEastAsia" w:hAnsiTheme="minorEastAsia" w:eastAsiaTheme="minorEastAsia"/>
                <w:b w:val="0"/>
                <w:u w:val="single"/>
              </w:rPr>
              <w:t>2</w:t>
            </w:r>
            <w:r>
              <w:rPr>
                <w:rFonts w:hint="eastAsia" w:asciiTheme="minorEastAsia" w:hAnsiTheme="minorEastAsia" w:eastAsiaTheme="minorEastAsia"/>
                <w:b w:val="0"/>
              </w:rPr>
              <w:t xml:space="preserve"> 在1类医疗场所，每个房间宜有1个由安全电源供电的灯具；</w:t>
            </w:r>
          </w:p>
          <w:p w14:paraId="631C4E72">
            <w:pPr>
              <w:pStyle w:val="56"/>
              <w:spacing w:before="0" w:beforeLines="0" w:after="0" w:afterLines="0" w:line="360" w:lineRule="auto"/>
              <w:ind w:left="120" w:leftChars="50" w:right="120" w:rightChars="50" w:firstLine="480" w:firstLineChars="200"/>
              <w:jc w:val="both"/>
              <w:outlineLvl w:val="9"/>
            </w:pPr>
            <w:r>
              <w:rPr>
                <w:rFonts w:asciiTheme="minorEastAsia" w:hAnsiTheme="minorEastAsia" w:eastAsiaTheme="minorEastAsia"/>
                <w:b w:val="0"/>
                <w:u w:val="single"/>
              </w:rPr>
              <w:t>3</w:t>
            </w:r>
            <w:r>
              <w:rPr>
                <w:rFonts w:hint="eastAsia" w:asciiTheme="minorEastAsia" w:hAnsiTheme="minorEastAsia" w:eastAsiaTheme="minorEastAsia"/>
                <w:b w:val="0"/>
              </w:rPr>
              <w:t xml:space="preserve"> 在2类医疗场所，电源应至少能提供50％的照度。</w:t>
            </w:r>
          </w:p>
        </w:tc>
      </w:tr>
      <w:tr w14:paraId="5F06F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1B523F6">
            <w:pPr>
              <w:jc w:val="center"/>
              <w:rPr>
                <w:rFonts w:asciiTheme="minorEastAsia" w:hAnsiTheme="minorEastAsia"/>
              </w:rPr>
            </w:pPr>
            <w:r>
              <w:rPr>
                <w:rFonts w:hint="eastAsia" w:asciiTheme="minorEastAsia" w:hAnsiTheme="minorEastAsia"/>
              </w:rPr>
              <w:t>8.6 照明设计</w:t>
            </w:r>
          </w:p>
        </w:tc>
        <w:tc>
          <w:tcPr>
            <w:tcW w:w="4261" w:type="dxa"/>
            <w:shd w:val="clear" w:color="auto" w:fill="auto"/>
          </w:tcPr>
          <w:p w14:paraId="2D317FF7">
            <w:pPr>
              <w:jc w:val="center"/>
              <w:rPr>
                <w:rFonts w:asciiTheme="minorEastAsia" w:hAnsiTheme="minorEastAsia"/>
              </w:rPr>
            </w:pPr>
            <w:r>
              <w:rPr>
                <w:rFonts w:hint="eastAsia" w:asciiTheme="minorEastAsia" w:hAnsiTheme="minorEastAsia"/>
              </w:rPr>
              <w:t>8.6 照明设计</w:t>
            </w:r>
          </w:p>
        </w:tc>
      </w:tr>
      <w:tr w14:paraId="650DF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29BC3D93">
            <w:r>
              <w:rPr>
                <w:rFonts w:ascii="宋体" w:hAnsi="宋体" w:eastAsia="宋体"/>
                <w:bCs/>
              </w:rPr>
              <w:t xml:space="preserve">8.6.2 </w:t>
            </w:r>
            <w:r>
              <w:rPr>
                <w:rFonts w:hint="eastAsia" w:ascii="宋体" w:hAnsi="宋体" w:eastAsia="宋体"/>
                <w:bCs/>
              </w:rPr>
              <w:t>医疗用房应采用高显色照明光源，显色指数应大于或等于80，宜采用带电子镇流器的三基色荧光灯</w:t>
            </w:r>
            <w:r>
              <w:rPr>
                <w:rFonts w:ascii="宋体" w:hAnsi="宋体" w:eastAsia="宋体"/>
                <w:bCs/>
              </w:rPr>
              <w:t>。</w:t>
            </w:r>
          </w:p>
        </w:tc>
        <w:tc>
          <w:tcPr>
            <w:tcW w:w="4261" w:type="dxa"/>
            <w:shd w:val="clear" w:color="auto" w:fill="auto"/>
          </w:tcPr>
          <w:p w14:paraId="35930AB1">
            <w:r>
              <w:rPr>
                <w:rFonts w:ascii="宋体" w:hAnsi="宋体" w:eastAsia="宋体"/>
                <w:bCs/>
              </w:rPr>
              <w:t xml:space="preserve">8.6.2 </w:t>
            </w:r>
            <w:r>
              <w:rPr>
                <w:rFonts w:hint="eastAsia" w:ascii="宋体" w:hAnsi="宋体" w:eastAsia="宋体"/>
                <w:bCs/>
              </w:rPr>
              <w:t>医疗用房应采用高显色照明光源，显色指数应大于或等于80，宜采用带电子镇流器的三基色荧光灯</w:t>
            </w:r>
            <w:r>
              <w:rPr>
                <w:rFonts w:ascii="宋体" w:hAnsi="宋体" w:eastAsia="宋体"/>
                <w:bCs/>
              </w:rPr>
              <w:t>。</w:t>
            </w:r>
            <w:r>
              <w:rPr>
                <w:rFonts w:ascii="宋体" w:hAnsi="宋体" w:eastAsia="宋体"/>
                <w:bCs/>
                <w:u w:val="single"/>
              </w:rPr>
              <w:t>当采用</w:t>
            </w:r>
            <w:r>
              <w:rPr>
                <w:rFonts w:hint="eastAsia" w:ascii="宋体" w:hAnsi="宋体" w:eastAsia="宋体"/>
                <w:bCs/>
                <w:u w:val="single"/>
              </w:rPr>
              <w:t>LED光源时，人员长期停留的场所应采用符合现行国家标准规定的无危险类照明产品且色温不超过4</w:t>
            </w:r>
            <w:r>
              <w:rPr>
                <w:rFonts w:ascii="宋体" w:hAnsi="宋体" w:eastAsia="宋体"/>
                <w:bCs/>
                <w:u w:val="single"/>
              </w:rPr>
              <w:t>000</w:t>
            </w:r>
            <w:r>
              <w:rPr>
                <w:rFonts w:hint="eastAsia" w:ascii="宋体" w:hAnsi="宋体" w:eastAsia="宋体"/>
                <w:bCs/>
                <w:u w:val="single"/>
              </w:rPr>
              <w:t>K。</w:t>
            </w:r>
          </w:p>
        </w:tc>
      </w:tr>
      <w:tr w14:paraId="6503A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64BFD8E5">
            <w:pPr>
              <w:jc w:val="center"/>
              <w:rPr>
                <w:rFonts w:asciiTheme="minorEastAsia" w:hAnsiTheme="minorEastAsia"/>
              </w:rPr>
            </w:pPr>
            <w:r>
              <w:rPr>
                <w:rFonts w:hint="eastAsia" w:asciiTheme="minorEastAsia" w:hAnsiTheme="minorEastAsia"/>
              </w:rPr>
              <w:t>8.7 防雷、接地与电磁兼容</w:t>
            </w:r>
          </w:p>
        </w:tc>
        <w:tc>
          <w:tcPr>
            <w:tcW w:w="4261" w:type="dxa"/>
            <w:shd w:val="clear" w:color="auto" w:fill="auto"/>
          </w:tcPr>
          <w:p w14:paraId="2EF0C007">
            <w:pPr>
              <w:jc w:val="center"/>
              <w:rPr>
                <w:rFonts w:asciiTheme="minorEastAsia" w:hAnsiTheme="minorEastAsia"/>
              </w:rPr>
            </w:pPr>
            <w:r>
              <w:rPr>
                <w:rFonts w:hint="eastAsia" w:asciiTheme="minorEastAsia" w:hAnsiTheme="minorEastAsia"/>
              </w:rPr>
              <w:t>8.7 防雷、接地与电磁兼容</w:t>
            </w:r>
          </w:p>
        </w:tc>
      </w:tr>
      <w:tr w14:paraId="1BEC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14:paraId="588B89D7">
            <w:pPr>
              <w:pStyle w:val="56"/>
              <w:spacing w:before="0" w:beforeLines="0" w:after="0" w:afterLines="0" w:line="360" w:lineRule="auto"/>
              <w:jc w:val="both"/>
              <w:outlineLvl w:val="9"/>
            </w:pPr>
            <w:r>
              <w:rPr>
                <w:rFonts w:asciiTheme="minorEastAsia" w:hAnsiTheme="minorEastAsia" w:eastAsiaTheme="minorEastAsia"/>
                <w:b w:val="0"/>
              </w:rPr>
              <w:t xml:space="preserve">8.7.3 </w:t>
            </w:r>
            <w:r>
              <w:rPr>
                <w:rFonts w:hint="eastAsia" w:asciiTheme="minorEastAsia" w:hAnsiTheme="minorEastAsia" w:eastAsiaTheme="minorEastAsia"/>
                <w:b w:val="0"/>
              </w:rPr>
              <w:t>医疗建筑电气设备应满足相关的电磁兼容（EMC）要求，并应符合国家现行有关电磁兼容标准的规定</w:t>
            </w:r>
            <w:r>
              <w:rPr>
                <w:rFonts w:asciiTheme="minorEastAsia" w:hAnsiTheme="minorEastAsia" w:eastAsiaTheme="minorEastAsia"/>
                <w:b w:val="0"/>
              </w:rPr>
              <w:t>。</w:t>
            </w:r>
          </w:p>
        </w:tc>
        <w:tc>
          <w:tcPr>
            <w:tcW w:w="4261" w:type="dxa"/>
            <w:shd w:val="clear" w:color="auto" w:fill="auto"/>
          </w:tcPr>
          <w:p w14:paraId="7C33E939">
            <w:pPr>
              <w:rPr>
                <w:rFonts w:ascii="宋体" w:hAnsi="宋体" w:eastAsia="宋体"/>
                <w:bCs/>
              </w:rPr>
            </w:pPr>
            <w:r>
              <w:rPr>
                <w:rFonts w:ascii="宋体" w:hAnsi="宋体" w:eastAsia="宋体"/>
                <w:bCs/>
              </w:rPr>
              <w:t xml:space="preserve">8.7.3 </w:t>
            </w:r>
            <w:r>
              <w:rPr>
                <w:rFonts w:hint="eastAsia" w:ascii="宋体" w:hAnsi="宋体" w:eastAsia="宋体"/>
                <w:bCs/>
              </w:rPr>
              <w:t>医疗建筑电气设备应满足相关的电磁兼容（EMC）要求，并应符合国家现行有关电磁兼容标准的规定</w:t>
            </w:r>
            <w:r>
              <w:rPr>
                <w:rFonts w:ascii="宋体" w:hAnsi="宋体" w:eastAsia="宋体"/>
                <w:bCs/>
              </w:rPr>
              <w:t>。</w:t>
            </w:r>
          </w:p>
          <w:p w14:paraId="6E873407">
            <w:pPr>
              <w:kinsoku w:val="0"/>
              <w:overflowPunct w:val="0"/>
              <w:ind w:firstLine="482" w:firstLineChars="200"/>
              <w:rPr>
                <w:rFonts w:ascii="宋体" w:hAnsi="宋体" w:eastAsia="宋体"/>
                <w:iCs/>
                <w:u w:val="single"/>
              </w:rPr>
            </w:pPr>
            <w:r>
              <w:rPr>
                <w:rFonts w:ascii="黑体" w:hAnsi="黑体" w:eastAsia="黑体"/>
                <w:b/>
                <w:bCs/>
                <w:kern w:val="0"/>
                <w:u w:val="single"/>
              </w:rPr>
              <w:t>1</w:t>
            </w:r>
            <w:r>
              <w:rPr>
                <w:rFonts w:ascii="黑体" w:hAnsi="黑体" w:eastAsia="黑体"/>
                <w:b/>
                <w:bCs/>
                <w:u w:val="single"/>
              </w:rPr>
              <w:t xml:space="preserve"> </w:t>
            </w:r>
            <w:r>
              <w:rPr>
                <w:rFonts w:hint="eastAsia" w:ascii="黑体" w:hAnsi="黑体" w:eastAsia="黑体"/>
                <w:b/>
                <w:bCs/>
                <w:u w:val="single"/>
              </w:rPr>
              <w:t>医疗设备的电磁干扰限值应为制造商推荐的限值。</w:t>
            </w:r>
            <w:r>
              <w:rPr>
                <w:rFonts w:ascii="宋体" w:hAnsi="宋体" w:eastAsia="宋体"/>
                <w:iCs/>
                <w:u w:val="single"/>
              </w:rPr>
              <w:t>50Hz磁感应强度B在患者位置上不超过以下</w:t>
            </w:r>
            <w:r>
              <w:rPr>
                <w:rFonts w:hint="eastAsia" w:ascii="宋体" w:hAnsi="宋体" w:eastAsia="宋体"/>
                <w:iCs/>
                <w:u w:val="single"/>
              </w:rPr>
              <w:t>表值</w:t>
            </w:r>
          </w:p>
          <w:p w14:paraId="53E3E85A">
            <w:pPr>
              <w:kinsoku w:val="0"/>
              <w:overflowPunct w:val="0"/>
              <w:jc w:val="center"/>
              <w:rPr>
                <w:rFonts w:ascii="宋体" w:hAnsi="宋体" w:eastAsia="宋体"/>
                <w:b/>
                <w:bCs/>
                <w:iCs/>
                <w:sz w:val="18"/>
                <w:szCs w:val="18"/>
                <w:u w:val="single"/>
              </w:rPr>
            </w:pPr>
            <w:r>
              <w:rPr>
                <w:rFonts w:hint="eastAsia" w:ascii="宋体" w:hAnsi="宋体" w:eastAsia="宋体"/>
                <w:b/>
                <w:bCs/>
                <w:sz w:val="18"/>
                <w:szCs w:val="18"/>
                <w:u w:val="single"/>
              </w:rPr>
              <w:t>表</w:t>
            </w:r>
            <w:r>
              <w:rPr>
                <w:rFonts w:ascii="宋体" w:hAnsi="宋体" w:eastAsia="宋体"/>
                <w:b/>
                <w:bCs/>
                <w:sz w:val="18"/>
                <w:szCs w:val="18"/>
                <w:u w:val="single"/>
              </w:rPr>
              <w:t>8.7.3.</w:t>
            </w:r>
            <w:r>
              <w:rPr>
                <w:rFonts w:hint="eastAsia" w:ascii="宋体" w:hAnsi="宋体" w:eastAsia="宋体"/>
                <w:b/>
                <w:bCs/>
                <w:sz w:val="18"/>
                <w:szCs w:val="18"/>
                <w:u w:val="single"/>
              </w:rPr>
              <w:t>1敏感医疗设备最大磁感应强度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18"/>
              <w:gridCol w:w="1817"/>
            </w:tblGrid>
            <w:tr w14:paraId="6C0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8" w:type="dxa"/>
                  <w:tcBorders>
                    <w:top w:val="single" w:color="auto" w:sz="4" w:space="0"/>
                    <w:left w:val="single" w:color="auto" w:sz="4" w:space="0"/>
                    <w:bottom w:val="single" w:color="auto" w:sz="4" w:space="0"/>
                    <w:right w:val="single" w:color="auto" w:sz="4" w:space="0"/>
                  </w:tcBorders>
                  <w:vAlign w:val="center"/>
                </w:tcPr>
                <w:p w14:paraId="6955AF9E">
                  <w:pPr>
                    <w:spacing w:line="240" w:lineRule="auto"/>
                    <w:ind w:left="120" w:leftChars="50" w:right="120" w:rightChars="50"/>
                    <w:jc w:val="center"/>
                    <w:outlineLvl w:val="1"/>
                    <w:rPr>
                      <w:rFonts w:ascii="宋体" w:hAnsi="宋体" w:eastAsia="宋体"/>
                      <w:bCs/>
                      <w:sz w:val="18"/>
                      <w:szCs w:val="18"/>
                      <w:u w:val="single"/>
                    </w:rPr>
                  </w:pPr>
                  <w:bookmarkStart w:id="45" w:name="_Toc85880774"/>
                  <w:r>
                    <w:rPr>
                      <w:rFonts w:hint="eastAsia" w:ascii="宋体" w:hAnsi="宋体" w:eastAsia="宋体"/>
                      <w:bCs/>
                      <w:sz w:val="18"/>
                      <w:szCs w:val="18"/>
                      <w:u w:val="single"/>
                    </w:rPr>
                    <w:t>敏感医疗设备</w:t>
                  </w:r>
                  <w:bookmarkEnd w:id="45"/>
                </w:p>
              </w:tc>
              <w:tc>
                <w:tcPr>
                  <w:tcW w:w="1817" w:type="dxa"/>
                  <w:tcBorders>
                    <w:top w:val="single" w:color="auto" w:sz="4" w:space="0"/>
                    <w:left w:val="single" w:color="auto" w:sz="4" w:space="0"/>
                    <w:bottom w:val="single" w:color="auto" w:sz="4" w:space="0"/>
                    <w:right w:val="single" w:color="auto" w:sz="4" w:space="0"/>
                  </w:tcBorders>
                  <w:vAlign w:val="center"/>
                </w:tcPr>
                <w:p w14:paraId="173F21F5">
                  <w:pPr>
                    <w:spacing w:line="240" w:lineRule="auto"/>
                    <w:ind w:left="120" w:leftChars="50" w:right="120" w:rightChars="50"/>
                    <w:jc w:val="center"/>
                    <w:outlineLvl w:val="1"/>
                    <w:rPr>
                      <w:rFonts w:ascii="宋体" w:hAnsi="宋体" w:eastAsia="宋体"/>
                      <w:bCs/>
                      <w:sz w:val="18"/>
                      <w:szCs w:val="18"/>
                      <w:u w:val="single"/>
                    </w:rPr>
                  </w:pPr>
                  <w:bookmarkStart w:id="46" w:name="_Toc85880775"/>
                  <w:r>
                    <w:rPr>
                      <w:rFonts w:hint="eastAsia" w:ascii="宋体" w:hAnsi="宋体" w:eastAsia="宋体"/>
                      <w:bCs/>
                      <w:sz w:val="18"/>
                      <w:szCs w:val="18"/>
                      <w:u w:val="single"/>
                    </w:rPr>
                    <w:t>磁感应强度</w:t>
                  </w:r>
                  <w:bookmarkEnd w:id="46"/>
                </w:p>
              </w:tc>
            </w:tr>
            <w:tr w14:paraId="473D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8" w:type="dxa"/>
                  <w:tcBorders>
                    <w:top w:val="single" w:color="auto" w:sz="4" w:space="0"/>
                    <w:left w:val="single" w:color="auto" w:sz="4" w:space="0"/>
                    <w:bottom w:val="single" w:color="auto" w:sz="4" w:space="0"/>
                    <w:right w:val="single" w:color="auto" w:sz="4" w:space="0"/>
                  </w:tcBorders>
                  <w:vAlign w:val="center"/>
                </w:tcPr>
                <w:p w14:paraId="4F96CA82">
                  <w:pPr>
                    <w:spacing w:line="240" w:lineRule="auto"/>
                    <w:ind w:left="120" w:leftChars="50" w:right="120" w:rightChars="50"/>
                    <w:jc w:val="center"/>
                    <w:outlineLvl w:val="1"/>
                    <w:rPr>
                      <w:rFonts w:ascii="宋体" w:hAnsi="宋体" w:eastAsia="宋体"/>
                      <w:bCs/>
                      <w:sz w:val="18"/>
                      <w:szCs w:val="18"/>
                      <w:u w:val="single"/>
                    </w:rPr>
                  </w:pPr>
                  <w:bookmarkStart w:id="47" w:name="_Toc85880776"/>
                  <w:r>
                    <w:rPr>
                      <w:rFonts w:hint="eastAsia" w:ascii="宋体" w:hAnsi="宋体" w:eastAsia="宋体"/>
                      <w:bCs/>
                      <w:sz w:val="18"/>
                      <w:szCs w:val="18"/>
                      <w:u w:val="single"/>
                    </w:rPr>
                    <w:t>肌电图（</w:t>
                  </w:r>
                  <w:r>
                    <w:rPr>
                      <w:rFonts w:ascii="宋体" w:hAnsi="宋体" w:eastAsia="宋体"/>
                      <w:bCs/>
                      <w:sz w:val="18"/>
                      <w:szCs w:val="18"/>
                      <w:u w:val="single"/>
                    </w:rPr>
                    <w:t>EMG）</w:t>
                  </w:r>
                  <w:bookmarkEnd w:id="47"/>
                </w:p>
              </w:tc>
              <w:tc>
                <w:tcPr>
                  <w:tcW w:w="1817" w:type="dxa"/>
                  <w:tcBorders>
                    <w:top w:val="single" w:color="auto" w:sz="4" w:space="0"/>
                    <w:left w:val="single" w:color="auto" w:sz="4" w:space="0"/>
                    <w:bottom w:val="single" w:color="auto" w:sz="4" w:space="0"/>
                    <w:right w:val="single" w:color="auto" w:sz="4" w:space="0"/>
                  </w:tcBorders>
                  <w:vAlign w:val="center"/>
                </w:tcPr>
                <w:p w14:paraId="66E3ABAD">
                  <w:pPr>
                    <w:spacing w:line="240" w:lineRule="auto"/>
                    <w:ind w:left="120" w:leftChars="50" w:right="120" w:rightChars="50"/>
                    <w:jc w:val="center"/>
                    <w:outlineLvl w:val="1"/>
                    <w:rPr>
                      <w:rFonts w:ascii="宋体" w:hAnsi="宋体" w:eastAsia="宋体"/>
                      <w:bCs/>
                      <w:sz w:val="18"/>
                      <w:szCs w:val="18"/>
                      <w:u w:val="single"/>
                    </w:rPr>
                  </w:pPr>
                  <w:bookmarkStart w:id="48" w:name="_Toc85880777"/>
                  <w:r>
                    <w:rPr>
                      <w:rFonts w:ascii="宋体" w:hAnsi="宋体" w:eastAsia="宋体"/>
                      <w:bCs/>
                      <w:sz w:val="18"/>
                      <w:szCs w:val="18"/>
                      <w:u w:val="single"/>
                    </w:rPr>
                    <w:t>0.1μT</w:t>
                  </w:r>
                  <w:bookmarkEnd w:id="48"/>
                </w:p>
              </w:tc>
            </w:tr>
            <w:tr w14:paraId="5204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8" w:type="dxa"/>
                  <w:tcBorders>
                    <w:top w:val="single" w:color="auto" w:sz="4" w:space="0"/>
                    <w:left w:val="single" w:color="auto" w:sz="4" w:space="0"/>
                    <w:bottom w:val="single" w:color="auto" w:sz="4" w:space="0"/>
                    <w:right w:val="single" w:color="auto" w:sz="4" w:space="0"/>
                  </w:tcBorders>
                  <w:vAlign w:val="center"/>
                </w:tcPr>
                <w:p w14:paraId="2DA6F6D8">
                  <w:pPr>
                    <w:spacing w:line="240" w:lineRule="auto"/>
                    <w:ind w:left="120" w:leftChars="50" w:right="120" w:rightChars="50"/>
                    <w:jc w:val="center"/>
                    <w:outlineLvl w:val="1"/>
                    <w:rPr>
                      <w:rFonts w:ascii="宋体" w:hAnsi="宋体" w:eastAsia="宋体"/>
                      <w:bCs/>
                      <w:sz w:val="18"/>
                      <w:szCs w:val="18"/>
                      <w:u w:val="single"/>
                    </w:rPr>
                  </w:pPr>
                  <w:bookmarkStart w:id="49" w:name="_Toc85880778"/>
                  <w:r>
                    <w:rPr>
                      <w:rFonts w:hint="eastAsia" w:ascii="宋体" w:hAnsi="宋体" w:eastAsia="宋体"/>
                      <w:bCs/>
                      <w:sz w:val="18"/>
                      <w:szCs w:val="18"/>
                      <w:u w:val="single"/>
                    </w:rPr>
                    <w:t>脑电图（</w:t>
                  </w:r>
                  <w:r>
                    <w:rPr>
                      <w:rFonts w:ascii="宋体" w:hAnsi="宋体" w:eastAsia="宋体"/>
                      <w:bCs/>
                      <w:sz w:val="18"/>
                      <w:szCs w:val="18"/>
                      <w:u w:val="single"/>
                    </w:rPr>
                    <w:t>EEG</w:t>
                  </w:r>
                  <w:r>
                    <w:rPr>
                      <w:rFonts w:hint="eastAsia" w:ascii="宋体" w:hAnsi="宋体" w:eastAsia="宋体"/>
                      <w:bCs/>
                      <w:sz w:val="18"/>
                      <w:szCs w:val="18"/>
                      <w:u w:val="single"/>
                    </w:rPr>
                    <w:t>）</w:t>
                  </w:r>
                  <w:bookmarkEnd w:id="49"/>
                </w:p>
              </w:tc>
              <w:tc>
                <w:tcPr>
                  <w:tcW w:w="1817" w:type="dxa"/>
                  <w:tcBorders>
                    <w:top w:val="single" w:color="auto" w:sz="4" w:space="0"/>
                    <w:left w:val="single" w:color="auto" w:sz="4" w:space="0"/>
                    <w:bottom w:val="single" w:color="auto" w:sz="4" w:space="0"/>
                    <w:right w:val="single" w:color="auto" w:sz="4" w:space="0"/>
                  </w:tcBorders>
                  <w:vAlign w:val="center"/>
                </w:tcPr>
                <w:p w14:paraId="7958781C">
                  <w:pPr>
                    <w:spacing w:line="240" w:lineRule="auto"/>
                    <w:ind w:left="120" w:leftChars="50" w:right="120" w:rightChars="50"/>
                    <w:jc w:val="center"/>
                    <w:outlineLvl w:val="1"/>
                    <w:rPr>
                      <w:rFonts w:ascii="宋体" w:hAnsi="宋体" w:eastAsia="宋体"/>
                      <w:bCs/>
                      <w:sz w:val="18"/>
                      <w:szCs w:val="18"/>
                      <w:u w:val="single"/>
                    </w:rPr>
                  </w:pPr>
                  <w:bookmarkStart w:id="50" w:name="_Toc85880779"/>
                  <w:r>
                    <w:rPr>
                      <w:rFonts w:ascii="宋体" w:hAnsi="宋体" w:eastAsia="宋体"/>
                      <w:bCs/>
                      <w:sz w:val="18"/>
                      <w:szCs w:val="18"/>
                      <w:u w:val="single"/>
                    </w:rPr>
                    <w:t>0.2</w:t>
                  </w:r>
                  <w:r>
                    <w:rPr>
                      <w:rFonts w:hint="eastAsia" w:ascii="宋体" w:hAnsi="宋体" w:eastAsia="宋体"/>
                      <w:bCs/>
                      <w:sz w:val="18"/>
                      <w:szCs w:val="18"/>
                      <w:u w:val="single"/>
                    </w:rPr>
                    <w:t>μ</w:t>
                  </w:r>
                  <w:r>
                    <w:rPr>
                      <w:rFonts w:ascii="宋体" w:hAnsi="宋体" w:eastAsia="宋体"/>
                      <w:bCs/>
                      <w:sz w:val="18"/>
                      <w:szCs w:val="18"/>
                      <w:u w:val="single"/>
                    </w:rPr>
                    <w:t>T</w:t>
                  </w:r>
                  <w:bookmarkEnd w:id="50"/>
                </w:p>
              </w:tc>
            </w:tr>
            <w:tr w14:paraId="2E94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8" w:type="dxa"/>
                  <w:tcBorders>
                    <w:top w:val="single" w:color="auto" w:sz="4" w:space="0"/>
                    <w:left w:val="single" w:color="auto" w:sz="4" w:space="0"/>
                    <w:bottom w:val="single" w:color="auto" w:sz="4" w:space="0"/>
                    <w:right w:val="single" w:color="auto" w:sz="4" w:space="0"/>
                  </w:tcBorders>
                  <w:vAlign w:val="center"/>
                </w:tcPr>
                <w:p w14:paraId="1A73320B">
                  <w:pPr>
                    <w:spacing w:line="240" w:lineRule="auto"/>
                    <w:ind w:left="120" w:leftChars="50" w:right="120" w:rightChars="50"/>
                    <w:jc w:val="center"/>
                    <w:outlineLvl w:val="1"/>
                    <w:rPr>
                      <w:rFonts w:ascii="宋体" w:hAnsi="宋体" w:eastAsia="宋体"/>
                      <w:bCs/>
                      <w:sz w:val="18"/>
                      <w:szCs w:val="18"/>
                      <w:u w:val="single"/>
                    </w:rPr>
                  </w:pPr>
                  <w:bookmarkStart w:id="51" w:name="_Toc85880780"/>
                  <w:r>
                    <w:rPr>
                      <w:rFonts w:hint="eastAsia" w:ascii="宋体" w:hAnsi="宋体" w:eastAsia="宋体"/>
                      <w:bCs/>
                      <w:sz w:val="18"/>
                      <w:szCs w:val="18"/>
                      <w:u w:val="single"/>
                    </w:rPr>
                    <w:t>心电图（</w:t>
                  </w:r>
                  <w:r>
                    <w:rPr>
                      <w:rFonts w:ascii="宋体" w:hAnsi="宋体" w:eastAsia="宋体"/>
                      <w:bCs/>
                      <w:sz w:val="18"/>
                      <w:szCs w:val="18"/>
                      <w:u w:val="single"/>
                    </w:rPr>
                    <w:t>ECG）</w:t>
                  </w:r>
                  <w:bookmarkEnd w:id="51"/>
                </w:p>
              </w:tc>
              <w:tc>
                <w:tcPr>
                  <w:tcW w:w="1817" w:type="dxa"/>
                  <w:tcBorders>
                    <w:top w:val="single" w:color="auto" w:sz="4" w:space="0"/>
                    <w:left w:val="single" w:color="auto" w:sz="4" w:space="0"/>
                    <w:bottom w:val="single" w:color="auto" w:sz="4" w:space="0"/>
                    <w:right w:val="single" w:color="auto" w:sz="4" w:space="0"/>
                  </w:tcBorders>
                  <w:vAlign w:val="center"/>
                </w:tcPr>
                <w:p w14:paraId="5053814C">
                  <w:pPr>
                    <w:spacing w:line="240" w:lineRule="auto"/>
                    <w:ind w:left="120" w:leftChars="50" w:right="120" w:rightChars="50"/>
                    <w:jc w:val="center"/>
                    <w:outlineLvl w:val="1"/>
                    <w:rPr>
                      <w:rFonts w:ascii="宋体" w:hAnsi="宋体" w:eastAsia="宋体"/>
                      <w:bCs/>
                      <w:sz w:val="18"/>
                      <w:szCs w:val="18"/>
                      <w:u w:val="single"/>
                    </w:rPr>
                  </w:pPr>
                  <w:bookmarkStart w:id="52" w:name="_Toc85880781"/>
                  <w:r>
                    <w:rPr>
                      <w:rFonts w:ascii="宋体" w:hAnsi="宋体" w:eastAsia="宋体"/>
                      <w:bCs/>
                      <w:sz w:val="18"/>
                      <w:szCs w:val="18"/>
                      <w:u w:val="single"/>
                    </w:rPr>
                    <w:t>0.4</w:t>
                  </w:r>
                  <w:r>
                    <w:rPr>
                      <w:rFonts w:hint="eastAsia" w:ascii="宋体" w:hAnsi="宋体" w:eastAsia="宋体"/>
                      <w:bCs/>
                      <w:sz w:val="18"/>
                      <w:szCs w:val="18"/>
                      <w:u w:val="single"/>
                    </w:rPr>
                    <w:t>μ</w:t>
                  </w:r>
                  <w:r>
                    <w:rPr>
                      <w:rFonts w:ascii="宋体" w:hAnsi="宋体" w:eastAsia="宋体"/>
                      <w:bCs/>
                      <w:sz w:val="18"/>
                      <w:szCs w:val="18"/>
                      <w:u w:val="single"/>
                    </w:rPr>
                    <w:t>T</w:t>
                  </w:r>
                  <w:bookmarkEnd w:id="52"/>
                </w:p>
              </w:tc>
            </w:tr>
          </w:tbl>
          <w:p w14:paraId="05C41D0D">
            <w:pPr>
              <w:spacing w:before="156" w:beforeLines="50"/>
              <w:ind w:firstLine="480" w:firstLineChars="200"/>
              <w:rPr>
                <w:rFonts w:ascii="宋体" w:hAnsi="宋体" w:eastAsia="宋体"/>
                <w:bCs/>
                <w:u w:val="single"/>
              </w:rPr>
            </w:pPr>
            <w:r>
              <w:rPr>
                <w:rFonts w:hint="eastAsia" w:ascii="宋体" w:hAnsi="宋体" w:eastAsia="宋体"/>
                <w:bCs/>
                <w:u w:val="single"/>
              </w:rPr>
              <w:t>2 3</w:t>
            </w:r>
            <w:r>
              <w:rPr>
                <w:rFonts w:ascii="宋体" w:hAnsi="宋体" w:eastAsia="宋体"/>
                <w:bCs/>
                <w:u w:val="single"/>
              </w:rPr>
              <w:t>kW</w:t>
            </w:r>
            <w:r>
              <w:rPr>
                <w:rFonts w:hint="eastAsia" w:ascii="宋体" w:hAnsi="宋体" w:eastAsia="宋体"/>
                <w:bCs/>
                <w:u w:val="single"/>
              </w:rPr>
              <w:t>以上的大型电机设备、医用IT变压器与患者之间的距离宜大于6m。</w:t>
            </w:r>
          </w:p>
          <w:p w14:paraId="4F9B3F15">
            <w:pPr>
              <w:ind w:firstLine="480" w:firstLineChars="200"/>
              <w:rPr>
                <w:rFonts w:ascii="宋体" w:hAnsi="宋体" w:eastAsia="宋体"/>
                <w:bCs/>
                <w:u w:val="single"/>
              </w:rPr>
            </w:pPr>
            <w:r>
              <w:rPr>
                <w:rFonts w:hint="eastAsia" w:ascii="宋体" w:hAnsi="宋体" w:eastAsia="宋体"/>
                <w:bCs/>
                <w:u w:val="single"/>
              </w:rPr>
              <w:t>3 多芯电缆、线路与患者之间应满足表</w:t>
            </w:r>
            <w:r>
              <w:rPr>
                <w:rFonts w:ascii="宋体" w:hAnsi="宋体" w:eastAsia="宋体"/>
                <w:bCs/>
                <w:u w:val="single"/>
              </w:rPr>
              <w:t>8.7.3</w:t>
            </w:r>
            <w:r>
              <w:rPr>
                <w:rFonts w:hint="eastAsia" w:ascii="宋体" w:hAnsi="宋体" w:eastAsia="宋体"/>
                <w:bCs/>
                <w:u w:val="single"/>
              </w:rPr>
              <w:t>.</w:t>
            </w:r>
            <w:r>
              <w:rPr>
                <w:rFonts w:ascii="宋体" w:hAnsi="宋体" w:eastAsia="宋体"/>
                <w:bCs/>
                <w:u w:val="single"/>
              </w:rPr>
              <w:t>2</w:t>
            </w:r>
            <w:r>
              <w:rPr>
                <w:rFonts w:hint="eastAsia" w:ascii="宋体" w:hAnsi="宋体" w:eastAsia="宋体"/>
                <w:bCs/>
                <w:u w:val="single"/>
              </w:rPr>
              <w:t>的规定。对电磁场源进行保护屏蔽，对具有特殊电磁兼容性（</w:t>
            </w:r>
            <w:r>
              <w:rPr>
                <w:rFonts w:ascii="宋体" w:hAnsi="宋体" w:eastAsia="宋体"/>
                <w:bCs/>
                <w:u w:val="single"/>
              </w:rPr>
              <w:t>EMC）需求的医疗场所进行防护屏蔽</w:t>
            </w:r>
            <w:r>
              <w:rPr>
                <w:rFonts w:hint="eastAsia" w:ascii="宋体" w:hAnsi="宋体" w:eastAsia="宋体"/>
                <w:bCs/>
                <w:u w:val="single"/>
              </w:rPr>
              <w:t>。</w:t>
            </w:r>
          </w:p>
          <w:p w14:paraId="11CFEDC9">
            <w:pPr>
              <w:kinsoku w:val="0"/>
              <w:overflowPunct w:val="0"/>
              <w:jc w:val="center"/>
              <w:rPr>
                <w:rFonts w:ascii="宋体" w:hAnsi="宋体" w:eastAsia="宋体"/>
                <w:b/>
                <w:bCs/>
                <w:sz w:val="18"/>
                <w:szCs w:val="22"/>
                <w:u w:val="single"/>
              </w:rPr>
            </w:pPr>
            <w:r>
              <w:rPr>
                <w:rFonts w:hint="eastAsia" w:ascii="宋体" w:hAnsi="宋体" w:eastAsia="宋体"/>
                <w:b/>
                <w:bCs/>
                <w:sz w:val="18"/>
                <w:szCs w:val="22"/>
                <w:u w:val="single"/>
              </w:rPr>
              <w:t>表</w:t>
            </w:r>
            <w:r>
              <w:rPr>
                <w:rFonts w:ascii="宋体" w:hAnsi="宋体" w:eastAsia="宋体"/>
                <w:b/>
                <w:bCs/>
                <w:sz w:val="18"/>
                <w:szCs w:val="22"/>
                <w:u w:val="single"/>
              </w:rPr>
              <w:t xml:space="preserve">8.7.3.2 </w:t>
            </w:r>
            <w:r>
              <w:rPr>
                <w:rFonts w:hint="eastAsia" w:ascii="宋体" w:hAnsi="宋体" w:eastAsia="宋体"/>
                <w:b/>
                <w:bCs/>
                <w:sz w:val="18"/>
                <w:szCs w:val="22"/>
                <w:u w:val="single"/>
              </w:rPr>
              <w:t>导体间</w:t>
            </w:r>
            <w:r>
              <w:rPr>
                <w:rFonts w:ascii="宋体" w:hAnsi="宋体" w:eastAsia="宋体"/>
                <w:b/>
                <w:bCs/>
                <w:sz w:val="18"/>
                <w:szCs w:val="22"/>
                <w:u w:val="single"/>
              </w:rPr>
              <w:t>最小间距</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77"/>
              <w:gridCol w:w="1558"/>
            </w:tblGrid>
            <w:tr w14:paraId="5315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tcBorders>
                    <w:top w:val="single" w:color="auto" w:sz="4" w:space="0"/>
                    <w:left w:val="single" w:color="auto" w:sz="4" w:space="0"/>
                    <w:bottom w:val="single" w:color="auto" w:sz="4" w:space="0"/>
                    <w:right w:val="single" w:color="auto" w:sz="4" w:space="0"/>
                  </w:tcBorders>
                  <w:vAlign w:val="center"/>
                </w:tcPr>
                <w:p w14:paraId="70E1F3BC">
                  <w:pPr>
                    <w:spacing w:line="240" w:lineRule="auto"/>
                    <w:ind w:left="120" w:leftChars="50" w:right="120" w:rightChars="50"/>
                    <w:jc w:val="center"/>
                    <w:outlineLvl w:val="1"/>
                    <w:rPr>
                      <w:rFonts w:ascii="宋体" w:hAnsi="宋体" w:eastAsia="宋体"/>
                      <w:b/>
                      <w:bCs/>
                      <w:sz w:val="18"/>
                      <w:u w:val="single"/>
                    </w:rPr>
                  </w:pPr>
                  <w:bookmarkStart w:id="53" w:name="_Toc85880782"/>
                  <w:r>
                    <w:rPr>
                      <w:rFonts w:hint="eastAsia" w:ascii="宋体" w:hAnsi="宋体" w:eastAsia="宋体"/>
                      <w:bCs/>
                      <w:sz w:val="18"/>
                      <w:u w:val="single"/>
                    </w:rPr>
                    <w:t>导体截面积</w:t>
                  </w:r>
                  <w:bookmarkEnd w:id="53"/>
                </w:p>
              </w:tc>
              <w:tc>
                <w:tcPr>
                  <w:tcW w:w="1558" w:type="dxa"/>
                  <w:tcBorders>
                    <w:top w:val="single" w:color="auto" w:sz="4" w:space="0"/>
                    <w:left w:val="single" w:color="auto" w:sz="4" w:space="0"/>
                    <w:bottom w:val="single" w:color="auto" w:sz="4" w:space="0"/>
                    <w:right w:val="single" w:color="auto" w:sz="4" w:space="0"/>
                  </w:tcBorders>
                  <w:vAlign w:val="center"/>
                </w:tcPr>
                <w:p w14:paraId="27506A96">
                  <w:pPr>
                    <w:spacing w:line="240" w:lineRule="auto"/>
                    <w:ind w:left="120" w:leftChars="50" w:right="120" w:rightChars="50"/>
                    <w:jc w:val="center"/>
                    <w:outlineLvl w:val="1"/>
                    <w:rPr>
                      <w:rFonts w:ascii="宋体" w:hAnsi="宋体" w:eastAsia="宋体"/>
                      <w:b/>
                      <w:bCs/>
                      <w:sz w:val="18"/>
                      <w:u w:val="single"/>
                    </w:rPr>
                  </w:pPr>
                  <w:bookmarkStart w:id="54" w:name="_Toc85880783"/>
                  <w:r>
                    <w:rPr>
                      <w:rFonts w:hint="eastAsia" w:ascii="宋体" w:hAnsi="宋体" w:eastAsia="宋体"/>
                      <w:bCs/>
                      <w:sz w:val="18"/>
                      <w:u w:val="single"/>
                    </w:rPr>
                    <w:t>最小间距</w:t>
                  </w:r>
                  <w:bookmarkEnd w:id="54"/>
                </w:p>
              </w:tc>
            </w:tr>
            <w:tr w14:paraId="32B6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77" w:type="dxa"/>
                  <w:tcBorders>
                    <w:top w:val="single" w:color="auto" w:sz="4" w:space="0"/>
                    <w:left w:val="single" w:color="auto" w:sz="4" w:space="0"/>
                    <w:bottom w:val="single" w:color="auto" w:sz="4" w:space="0"/>
                    <w:right w:val="single" w:color="auto" w:sz="4" w:space="0"/>
                  </w:tcBorders>
                  <w:vAlign w:val="center"/>
                </w:tcPr>
                <w:p w14:paraId="03098364">
                  <w:pPr>
                    <w:spacing w:line="240" w:lineRule="auto"/>
                    <w:ind w:left="120" w:leftChars="50" w:right="120" w:rightChars="50"/>
                    <w:jc w:val="center"/>
                    <w:outlineLvl w:val="1"/>
                    <w:rPr>
                      <w:rFonts w:ascii="宋体" w:hAnsi="宋体" w:eastAsia="宋体"/>
                      <w:b/>
                      <w:bCs/>
                      <w:sz w:val="18"/>
                      <w:u w:val="single"/>
                    </w:rPr>
                  </w:pPr>
                  <w:bookmarkStart w:id="55" w:name="_Toc85880784"/>
                  <w:r>
                    <w:rPr>
                      <w:rFonts w:ascii="宋体" w:hAnsi="宋体" w:eastAsia="宋体"/>
                      <w:bCs/>
                      <w:sz w:val="18"/>
                      <w:u w:val="single"/>
                    </w:rPr>
                    <w:t>10mm²</w:t>
                  </w:r>
                  <w:r>
                    <w:rPr>
                      <w:rFonts w:hint="eastAsia" w:ascii="宋体" w:hAnsi="宋体" w:eastAsia="宋体"/>
                      <w:bCs/>
                      <w:sz w:val="18"/>
                      <w:u w:val="single"/>
                    </w:rPr>
                    <w:t>～</w:t>
                  </w:r>
                  <w:r>
                    <w:rPr>
                      <w:rFonts w:ascii="宋体" w:hAnsi="宋体" w:eastAsia="宋体"/>
                      <w:bCs/>
                      <w:sz w:val="18"/>
                      <w:u w:val="single"/>
                    </w:rPr>
                    <w:t>70mm²</w:t>
                  </w:r>
                  <w:bookmarkEnd w:id="55"/>
                </w:p>
              </w:tc>
              <w:tc>
                <w:tcPr>
                  <w:tcW w:w="1558" w:type="dxa"/>
                  <w:tcBorders>
                    <w:top w:val="single" w:color="auto" w:sz="4" w:space="0"/>
                    <w:left w:val="single" w:color="auto" w:sz="4" w:space="0"/>
                    <w:bottom w:val="single" w:color="auto" w:sz="4" w:space="0"/>
                    <w:right w:val="single" w:color="auto" w:sz="4" w:space="0"/>
                  </w:tcBorders>
                  <w:vAlign w:val="center"/>
                </w:tcPr>
                <w:p w14:paraId="1F0234F9">
                  <w:pPr>
                    <w:spacing w:line="240" w:lineRule="auto"/>
                    <w:ind w:left="120" w:leftChars="50" w:right="120" w:rightChars="50"/>
                    <w:jc w:val="center"/>
                    <w:outlineLvl w:val="1"/>
                    <w:rPr>
                      <w:rFonts w:ascii="宋体" w:hAnsi="宋体" w:eastAsia="宋体"/>
                      <w:b/>
                      <w:bCs/>
                      <w:sz w:val="18"/>
                      <w:u w:val="single"/>
                    </w:rPr>
                  </w:pPr>
                  <w:bookmarkStart w:id="56" w:name="_Toc85880785"/>
                  <w:r>
                    <w:rPr>
                      <w:rFonts w:ascii="宋体" w:hAnsi="宋体" w:eastAsia="宋体"/>
                      <w:bCs/>
                      <w:sz w:val="18"/>
                      <w:u w:val="single"/>
                    </w:rPr>
                    <w:t>3m</w:t>
                  </w:r>
                  <w:bookmarkEnd w:id="56"/>
                </w:p>
              </w:tc>
            </w:tr>
            <w:tr w14:paraId="0155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77" w:type="dxa"/>
                  <w:tcBorders>
                    <w:top w:val="single" w:color="auto" w:sz="4" w:space="0"/>
                    <w:left w:val="single" w:color="auto" w:sz="4" w:space="0"/>
                    <w:bottom w:val="single" w:color="auto" w:sz="4" w:space="0"/>
                    <w:right w:val="single" w:color="auto" w:sz="4" w:space="0"/>
                  </w:tcBorders>
                  <w:vAlign w:val="center"/>
                </w:tcPr>
                <w:p w14:paraId="311FDFA4">
                  <w:pPr>
                    <w:spacing w:line="240" w:lineRule="auto"/>
                    <w:ind w:left="120" w:leftChars="50" w:right="120" w:rightChars="50"/>
                    <w:jc w:val="center"/>
                    <w:outlineLvl w:val="1"/>
                    <w:rPr>
                      <w:rFonts w:ascii="宋体" w:hAnsi="宋体" w:eastAsia="宋体"/>
                      <w:b/>
                      <w:bCs/>
                      <w:sz w:val="18"/>
                      <w:u w:val="single"/>
                    </w:rPr>
                  </w:pPr>
                  <w:bookmarkStart w:id="57" w:name="_Toc85880786"/>
                  <w:r>
                    <w:rPr>
                      <w:rFonts w:ascii="宋体" w:hAnsi="宋体" w:eastAsia="宋体"/>
                      <w:bCs/>
                      <w:sz w:val="18"/>
                      <w:u w:val="single"/>
                    </w:rPr>
                    <w:t>95mm²</w:t>
                  </w:r>
                  <w:r>
                    <w:rPr>
                      <w:rFonts w:hint="eastAsia" w:ascii="宋体" w:hAnsi="宋体" w:eastAsia="宋体"/>
                      <w:bCs/>
                      <w:sz w:val="18"/>
                      <w:u w:val="single"/>
                    </w:rPr>
                    <w:t>～</w:t>
                  </w:r>
                  <w:r>
                    <w:rPr>
                      <w:rFonts w:ascii="宋体" w:hAnsi="宋体" w:eastAsia="宋体"/>
                      <w:bCs/>
                      <w:sz w:val="18"/>
                      <w:u w:val="single"/>
                    </w:rPr>
                    <w:t>185mm²</w:t>
                  </w:r>
                  <w:bookmarkEnd w:id="57"/>
                </w:p>
              </w:tc>
              <w:tc>
                <w:tcPr>
                  <w:tcW w:w="1558" w:type="dxa"/>
                  <w:tcBorders>
                    <w:top w:val="single" w:color="auto" w:sz="4" w:space="0"/>
                    <w:left w:val="single" w:color="auto" w:sz="4" w:space="0"/>
                    <w:bottom w:val="single" w:color="auto" w:sz="4" w:space="0"/>
                    <w:right w:val="single" w:color="auto" w:sz="4" w:space="0"/>
                  </w:tcBorders>
                  <w:vAlign w:val="center"/>
                </w:tcPr>
                <w:p w14:paraId="2ED375AA">
                  <w:pPr>
                    <w:spacing w:line="240" w:lineRule="auto"/>
                    <w:ind w:left="120" w:leftChars="50" w:right="120" w:rightChars="50"/>
                    <w:jc w:val="center"/>
                    <w:outlineLvl w:val="1"/>
                    <w:rPr>
                      <w:rFonts w:ascii="宋体" w:hAnsi="宋体" w:eastAsia="宋体"/>
                      <w:b/>
                      <w:bCs/>
                      <w:sz w:val="18"/>
                      <w:u w:val="single"/>
                    </w:rPr>
                  </w:pPr>
                  <w:bookmarkStart w:id="58" w:name="_Toc85880787"/>
                  <w:r>
                    <w:rPr>
                      <w:rFonts w:ascii="宋体" w:hAnsi="宋体" w:eastAsia="宋体"/>
                      <w:bCs/>
                      <w:sz w:val="18"/>
                      <w:u w:val="single"/>
                    </w:rPr>
                    <w:t>6m</w:t>
                  </w:r>
                  <w:bookmarkEnd w:id="58"/>
                </w:p>
              </w:tc>
            </w:tr>
            <w:tr w14:paraId="0809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77" w:type="dxa"/>
                  <w:tcBorders>
                    <w:top w:val="single" w:color="auto" w:sz="4" w:space="0"/>
                    <w:left w:val="single" w:color="auto" w:sz="4" w:space="0"/>
                    <w:bottom w:val="single" w:color="auto" w:sz="4" w:space="0"/>
                    <w:right w:val="single" w:color="auto" w:sz="4" w:space="0"/>
                  </w:tcBorders>
                  <w:vAlign w:val="center"/>
                </w:tcPr>
                <w:p w14:paraId="51ECC43B">
                  <w:pPr>
                    <w:spacing w:line="240" w:lineRule="auto"/>
                    <w:ind w:left="120" w:leftChars="50" w:right="120" w:rightChars="50"/>
                    <w:jc w:val="center"/>
                    <w:outlineLvl w:val="1"/>
                    <w:rPr>
                      <w:rFonts w:ascii="宋体" w:hAnsi="宋体" w:eastAsia="宋体"/>
                      <w:b/>
                      <w:bCs/>
                      <w:sz w:val="18"/>
                      <w:u w:val="single"/>
                    </w:rPr>
                  </w:pPr>
                  <w:bookmarkStart w:id="59" w:name="_Toc85880788"/>
                  <w:r>
                    <w:rPr>
                      <w:rFonts w:hint="eastAsia" w:ascii="宋体" w:hAnsi="宋体" w:eastAsia="宋体"/>
                      <w:bCs/>
                      <w:sz w:val="18"/>
                      <w:u w:val="single"/>
                    </w:rPr>
                    <w:t>＞</w:t>
                  </w:r>
                  <w:r>
                    <w:rPr>
                      <w:rFonts w:ascii="宋体" w:hAnsi="宋体" w:eastAsia="宋体"/>
                      <w:bCs/>
                      <w:sz w:val="18"/>
                      <w:u w:val="single"/>
                    </w:rPr>
                    <w:t>185mm²</w:t>
                  </w:r>
                  <w:bookmarkEnd w:id="59"/>
                </w:p>
              </w:tc>
              <w:tc>
                <w:tcPr>
                  <w:tcW w:w="1558" w:type="dxa"/>
                  <w:tcBorders>
                    <w:top w:val="single" w:color="auto" w:sz="4" w:space="0"/>
                    <w:left w:val="single" w:color="auto" w:sz="4" w:space="0"/>
                    <w:bottom w:val="single" w:color="auto" w:sz="4" w:space="0"/>
                    <w:right w:val="single" w:color="auto" w:sz="4" w:space="0"/>
                  </w:tcBorders>
                  <w:vAlign w:val="center"/>
                </w:tcPr>
                <w:p w14:paraId="0330F3E4">
                  <w:pPr>
                    <w:spacing w:line="240" w:lineRule="auto"/>
                    <w:ind w:left="120" w:leftChars="50" w:right="120" w:rightChars="50"/>
                    <w:jc w:val="center"/>
                    <w:outlineLvl w:val="1"/>
                    <w:rPr>
                      <w:rFonts w:ascii="宋体" w:hAnsi="宋体" w:eastAsia="宋体"/>
                      <w:b/>
                      <w:bCs/>
                      <w:sz w:val="18"/>
                      <w:u w:val="single"/>
                    </w:rPr>
                  </w:pPr>
                  <w:bookmarkStart w:id="60" w:name="_Toc85880789"/>
                  <w:r>
                    <w:rPr>
                      <w:rFonts w:ascii="宋体" w:hAnsi="宋体" w:eastAsia="宋体"/>
                      <w:bCs/>
                      <w:sz w:val="18"/>
                      <w:u w:val="single"/>
                    </w:rPr>
                    <w:t>9m</w:t>
                  </w:r>
                  <w:bookmarkEnd w:id="60"/>
                </w:p>
              </w:tc>
            </w:tr>
          </w:tbl>
          <w:p w14:paraId="22406845">
            <w:pPr>
              <w:spacing w:line="240" w:lineRule="auto"/>
              <w:jc w:val="center"/>
            </w:pPr>
          </w:p>
        </w:tc>
      </w:tr>
      <w:tr w14:paraId="279F6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2CE8C69">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9.智能化系统</w:t>
            </w:r>
          </w:p>
        </w:tc>
        <w:tc>
          <w:tcPr>
            <w:tcW w:w="4261" w:type="dxa"/>
          </w:tcPr>
          <w:p w14:paraId="58ED6DF0">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9.智能化系统</w:t>
            </w:r>
          </w:p>
        </w:tc>
      </w:tr>
      <w:tr w14:paraId="3A9D5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993C1A4">
            <w:pPr>
              <w:jc w:val="center"/>
              <w:rPr>
                <w:rFonts w:asciiTheme="minorEastAsia" w:hAnsiTheme="minorEastAsia"/>
              </w:rPr>
            </w:pPr>
            <w:r>
              <w:rPr>
                <w:rFonts w:hint="eastAsia" w:asciiTheme="minorEastAsia" w:hAnsiTheme="minorEastAsia"/>
              </w:rPr>
              <w:t>9.1 一般规定</w:t>
            </w:r>
          </w:p>
        </w:tc>
        <w:tc>
          <w:tcPr>
            <w:tcW w:w="4261" w:type="dxa"/>
          </w:tcPr>
          <w:p w14:paraId="24786A93">
            <w:pPr>
              <w:jc w:val="center"/>
              <w:rPr>
                <w:rFonts w:asciiTheme="minorEastAsia" w:hAnsiTheme="minorEastAsia"/>
              </w:rPr>
            </w:pPr>
            <w:r>
              <w:rPr>
                <w:rFonts w:hint="eastAsia" w:asciiTheme="minorEastAsia" w:hAnsiTheme="minorEastAsia"/>
              </w:rPr>
              <w:t>9.1 一般规定</w:t>
            </w:r>
          </w:p>
        </w:tc>
      </w:tr>
      <w:tr w14:paraId="7048D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0996E5B">
            <w:r>
              <w:rPr>
                <w:rFonts w:hint="eastAsia" w:ascii="宋体" w:hAnsi="宋体" w:eastAsia="宋体"/>
              </w:rPr>
              <w:t>9.1.3 智能化系统的设计除应符合本规范的规定外，还应符合现行国家标准《智能建筑设计标准》GB</w:t>
            </w:r>
            <w:r>
              <w:rPr>
                <w:rFonts w:ascii="宋体" w:hAnsi="宋体" w:eastAsia="宋体"/>
                <w:bdr w:val="single" w:color="auto" w:sz="4" w:space="0"/>
              </w:rPr>
              <w:t>/T</w:t>
            </w:r>
            <w:r>
              <w:rPr>
                <w:rFonts w:hint="eastAsia" w:ascii="宋体" w:hAnsi="宋体" w:eastAsia="宋体"/>
              </w:rPr>
              <w:t>50314等的有关规定。</w:t>
            </w:r>
          </w:p>
        </w:tc>
        <w:tc>
          <w:tcPr>
            <w:tcW w:w="4261" w:type="dxa"/>
          </w:tcPr>
          <w:p w14:paraId="592B6183">
            <w:r>
              <w:rPr>
                <w:rFonts w:hint="eastAsia" w:ascii="宋体" w:hAnsi="宋体" w:eastAsia="宋体"/>
              </w:rPr>
              <w:t>9.1.3 智能化系统的设计除应符合本规范的规定外，还应符合现行国家标准《智能建筑设计标准》GB50314等的有关规定。</w:t>
            </w:r>
          </w:p>
        </w:tc>
      </w:tr>
      <w:tr w14:paraId="46075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48F9AD4"/>
        </w:tc>
        <w:tc>
          <w:tcPr>
            <w:tcW w:w="4261" w:type="dxa"/>
          </w:tcPr>
          <w:p w14:paraId="04337B21">
            <w:r>
              <w:rPr>
                <w:rFonts w:hint="eastAsia" w:ascii="宋体" w:hAnsi="宋体" w:eastAsia="宋体"/>
                <w:u w:val="single"/>
              </w:rPr>
              <w:t>9.1.4</w:t>
            </w:r>
            <w:r>
              <w:rPr>
                <w:rFonts w:ascii="宋体" w:hAnsi="宋体" w:eastAsia="宋体"/>
                <w:u w:val="single"/>
              </w:rPr>
              <w:t xml:space="preserve"> </w:t>
            </w:r>
            <w:r>
              <w:rPr>
                <w:rFonts w:hint="eastAsia" w:ascii="宋体" w:hAnsi="宋体" w:eastAsia="宋体"/>
                <w:u w:val="single"/>
              </w:rPr>
              <w:t>感染疾病科及平疫结合区智能化系统应满足感染性疾病的控制与管理要求，通过智能化措施减少医生及病患感染的可能性。</w:t>
            </w:r>
          </w:p>
        </w:tc>
      </w:tr>
      <w:tr w14:paraId="5C61B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2E40388">
            <w:pPr>
              <w:jc w:val="center"/>
              <w:rPr>
                <w:rFonts w:asciiTheme="minorEastAsia" w:hAnsiTheme="minorEastAsia"/>
              </w:rPr>
            </w:pPr>
            <w:r>
              <w:rPr>
                <w:rFonts w:hint="eastAsia" w:asciiTheme="minorEastAsia" w:hAnsiTheme="minorEastAsia"/>
              </w:rPr>
              <w:t>9.2 信息设施系统</w:t>
            </w:r>
          </w:p>
        </w:tc>
        <w:tc>
          <w:tcPr>
            <w:tcW w:w="4261" w:type="dxa"/>
          </w:tcPr>
          <w:p w14:paraId="20684D14">
            <w:pPr>
              <w:jc w:val="center"/>
              <w:rPr>
                <w:rFonts w:asciiTheme="minorEastAsia" w:hAnsiTheme="minorEastAsia"/>
              </w:rPr>
            </w:pPr>
            <w:r>
              <w:rPr>
                <w:rFonts w:hint="eastAsia" w:asciiTheme="minorEastAsia" w:hAnsiTheme="minorEastAsia"/>
              </w:rPr>
              <w:t>9.2 信息设施系统</w:t>
            </w:r>
          </w:p>
        </w:tc>
      </w:tr>
      <w:tr w14:paraId="149C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B7C18E2">
            <w:r>
              <w:rPr>
                <w:rFonts w:hint="eastAsia" w:ascii="宋体" w:hAnsi="宋体" w:eastAsia="宋体"/>
              </w:rPr>
              <w:t xml:space="preserve">9.2.1 </w:t>
            </w:r>
            <w:r>
              <w:rPr>
                <w:rFonts w:hint="eastAsia" w:ascii="宋体" w:hAnsi="宋体" w:eastAsia="宋体"/>
                <w:bdr w:val="single" w:color="auto" w:sz="4" w:space="0"/>
              </w:rPr>
              <w:t>通讯</w:t>
            </w:r>
            <w:r>
              <w:rPr>
                <w:rFonts w:hint="eastAsia" w:ascii="宋体" w:hAnsi="宋体" w:eastAsia="宋体"/>
              </w:rPr>
              <w:t>接入系统宜在医院内集中设置。</w:t>
            </w:r>
          </w:p>
        </w:tc>
        <w:tc>
          <w:tcPr>
            <w:tcW w:w="4261" w:type="dxa"/>
          </w:tcPr>
          <w:p w14:paraId="52D370D7">
            <w:pPr>
              <w:rPr>
                <w:rFonts w:ascii="宋体" w:hAnsi="宋体" w:eastAsia="宋体"/>
                <w:u w:val="single"/>
              </w:rPr>
            </w:pPr>
            <w:r>
              <w:rPr>
                <w:rFonts w:hint="eastAsia" w:ascii="宋体" w:hAnsi="宋体" w:eastAsia="宋体"/>
              </w:rPr>
              <w:t>9.2.1</w:t>
            </w:r>
            <w:r>
              <w:rPr>
                <w:rFonts w:ascii="宋体" w:hAnsi="宋体" w:eastAsia="宋体"/>
              </w:rPr>
              <w:t xml:space="preserve"> </w:t>
            </w:r>
            <w:r>
              <w:rPr>
                <w:rFonts w:hint="eastAsia" w:ascii="宋体" w:hAnsi="宋体" w:eastAsia="宋体"/>
                <w:u w:val="single"/>
              </w:rPr>
              <w:t>信息</w:t>
            </w:r>
            <w:r>
              <w:rPr>
                <w:rFonts w:hint="eastAsia" w:ascii="宋体" w:hAnsi="宋体" w:eastAsia="宋体"/>
              </w:rPr>
              <w:t>接入系统宜在医院内集中设置。</w:t>
            </w:r>
          </w:p>
        </w:tc>
      </w:tr>
      <w:tr w14:paraId="2F26C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C9854C8">
            <w:r>
              <w:rPr>
                <w:rFonts w:hint="eastAsia" w:ascii="宋体" w:hAnsi="宋体" w:eastAsia="宋体"/>
              </w:rPr>
              <w:t>9.2.2 当采用独立的综合业务数字程控用户交换机系统时，中继线数量应根据</w:t>
            </w:r>
            <w:r>
              <w:rPr>
                <w:rFonts w:hint="eastAsia" w:ascii="宋体" w:hAnsi="宋体" w:eastAsia="宋体"/>
                <w:bdr w:val="single" w:color="auto" w:sz="4" w:space="0"/>
              </w:rPr>
              <w:t>实际话务量</w:t>
            </w:r>
            <w:r>
              <w:rPr>
                <w:rFonts w:hint="eastAsia" w:ascii="宋体" w:hAnsi="宋体" w:eastAsia="宋体"/>
              </w:rPr>
              <w:t>的1/10确定，并应预留裕量。</w:t>
            </w:r>
          </w:p>
        </w:tc>
        <w:tc>
          <w:tcPr>
            <w:tcW w:w="4261" w:type="dxa"/>
          </w:tcPr>
          <w:p w14:paraId="5AF975BD">
            <w:pPr>
              <w:rPr>
                <w:rFonts w:ascii="宋体" w:hAnsi="宋体" w:eastAsia="宋体"/>
                <w:u w:val="single"/>
              </w:rPr>
            </w:pPr>
            <w:r>
              <w:rPr>
                <w:rFonts w:hint="eastAsia" w:ascii="宋体" w:hAnsi="宋体" w:eastAsia="宋体"/>
              </w:rPr>
              <w:t>9.2.2 当采用独立的综合业务数字程控用户交换机系统时，中继线数量应根据</w:t>
            </w:r>
            <w:r>
              <w:rPr>
                <w:rFonts w:hint="eastAsia" w:ascii="宋体" w:hAnsi="宋体" w:eastAsia="宋体"/>
                <w:u w:val="single"/>
              </w:rPr>
              <w:t>用户交换机容量</w:t>
            </w:r>
            <w:r>
              <w:rPr>
                <w:rFonts w:hint="eastAsia" w:ascii="宋体" w:hAnsi="宋体" w:eastAsia="宋体"/>
              </w:rPr>
              <w:t>的1/10确定，并应预留裕量。</w:t>
            </w:r>
          </w:p>
        </w:tc>
      </w:tr>
      <w:tr w14:paraId="2F9AC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CE8B5FE">
            <w:pPr>
              <w:rPr>
                <w:rFonts w:ascii="宋体" w:hAnsi="宋体" w:eastAsia="宋体"/>
              </w:rPr>
            </w:pPr>
            <w:r>
              <w:rPr>
                <w:rFonts w:hint="eastAsia" w:ascii="宋体" w:hAnsi="宋体" w:eastAsia="宋体"/>
              </w:rPr>
              <w:t>9.2.3 信息网络系统设置应符合下列要求：</w:t>
            </w:r>
          </w:p>
          <w:p w14:paraId="069AC8A3">
            <w:pPr>
              <w:ind w:firstLine="480" w:firstLineChars="200"/>
              <w:rPr>
                <w:rFonts w:ascii="宋体" w:hAnsi="宋体" w:eastAsia="宋体"/>
                <w:kern w:val="0"/>
              </w:rPr>
            </w:pPr>
            <w:r>
              <w:rPr>
                <w:rFonts w:hint="eastAsia" w:ascii="宋体" w:hAnsi="宋体" w:eastAsia="宋体"/>
                <w:kern w:val="0"/>
              </w:rPr>
              <w:t xml:space="preserve">1 </w:t>
            </w:r>
            <w:r>
              <w:rPr>
                <w:rFonts w:hint="eastAsia" w:ascii="宋体" w:hAnsi="宋体" w:eastAsia="宋体"/>
                <w:kern w:val="0"/>
                <w:bdr w:val="single" w:color="auto" w:sz="4" w:space="0"/>
              </w:rPr>
              <w:t>应</w:t>
            </w:r>
            <w:r>
              <w:rPr>
                <w:rFonts w:hint="eastAsia" w:ascii="宋体" w:hAnsi="宋体" w:eastAsia="宋体"/>
                <w:kern w:val="0"/>
              </w:rPr>
              <w:t>根据信息重要级别及安全程度，分别设置供医院内部使用的专用网</w:t>
            </w:r>
            <w:r>
              <w:rPr>
                <w:rFonts w:hint="eastAsia" w:ascii="宋体" w:hAnsi="宋体" w:eastAsia="宋体"/>
                <w:kern w:val="0"/>
                <w:bdr w:val="single" w:color="auto" w:sz="4" w:space="0"/>
              </w:rPr>
              <w:t>和</w:t>
            </w:r>
            <w:r>
              <w:rPr>
                <w:rFonts w:hint="eastAsia" w:ascii="宋体" w:hAnsi="宋体" w:eastAsia="宋体"/>
                <w:kern w:val="0"/>
              </w:rPr>
              <w:t>公用信息传输的互联网。</w:t>
            </w:r>
          </w:p>
          <w:p w14:paraId="7B0FD653">
            <w:pPr>
              <w:ind w:firstLine="480" w:firstLineChars="200"/>
              <w:rPr>
                <w:rFonts w:ascii="宋体" w:hAnsi="宋体" w:eastAsia="宋体"/>
                <w:kern w:val="0"/>
              </w:rPr>
            </w:pPr>
            <w:r>
              <w:rPr>
                <w:rFonts w:hint="eastAsia" w:ascii="宋体" w:hAnsi="宋体" w:eastAsia="宋体"/>
                <w:kern w:val="0"/>
              </w:rPr>
              <w:t>2 应采用以太网交换技术和相应的网络结构。</w:t>
            </w:r>
          </w:p>
          <w:p w14:paraId="299E2870">
            <w:pPr>
              <w:ind w:firstLine="480" w:firstLineChars="200"/>
              <w:rPr>
                <w:rFonts w:ascii="宋体" w:hAnsi="宋体" w:eastAsia="宋体"/>
                <w:kern w:val="0"/>
              </w:rPr>
            </w:pPr>
            <w:r>
              <w:rPr>
                <w:rFonts w:hint="eastAsia" w:ascii="宋体" w:hAnsi="宋体" w:eastAsia="宋体"/>
                <w:kern w:val="0"/>
              </w:rPr>
              <w:t>3 应配置核心交换机和接入交换机。可根据信息点分布和规模，增设汇聚层交换机。</w:t>
            </w:r>
          </w:p>
          <w:p w14:paraId="338214F3">
            <w:pPr>
              <w:ind w:firstLine="480" w:firstLineChars="200"/>
            </w:pPr>
            <w:r>
              <w:rPr>
                <w:rFonts w:hint="eastAsia" w:ascii="宋体" w:hAnsi="宋体" w:eastAsia="宋体"/>
                <w:kern w:val="0"/>
              </w:rPr>
              <w:t>4 医院内部使用的专用网宜采用网络的冗余配置。</w:t>
            </w:r>
          </w:p>
        </w:tc>
        <w:tc>
          <w:tcPr>
            <w:tcW w:w="4261" w:type="dxa"/>
          </w:tcPr>
          <w:p w14:paraId="206A73F7">
            <w:pPr>
              <w:rPr>
                <w:rFonts w:ascii="宋体" w:hAnsi="宋体" w:eastAsia="宋体"/>
              </w:rPr>
            </w:pPr>
            <w:r>
              <w:rPr>
                <w:rFonts w:hint="eastAsia" w:ascii="宋体" w:hAnsi="宋体" w:eastAsia="宋体"/>
              </w:rPr>
              <w:t>9.2.3 信息网络系统设置应符合下列要求：</w:t>
            </w:r>
          </w:p>
          <w:p w14:paraId="2EEF7B5C">
            <w:pPr>
              <w:ind w:firstLine="480" w:firstLineChars="200"/>
              <w:rPr>
                <w:rFonts w:ascii="宋体" w:hAnsi="宋体" w:eastAsia="宋体"/>
                <w:kern w:val="0"/>
              </w:rPr>
            </w:pPr>
            <w:r>
              <w:rPr>
                <w:rFonts w:hint="eastAsia" w:ascii="宋体" w:hAnsi="宋体" w:eastAsia="宋体"/>
                <w:kern w:val="0"/>
              </w:rPr>
              <w:t xml:space="preserve">1 </w:t>
            </w:r>
            <w:r>
              <w:rPr>
                <w:rFonts w:hint="eastAsia" w:ascii="宋体" w:hAnsi="宋体" w:eastAsia="宋体"/>
                <w:kern w:val="0"/>
                <w:u w:val="single"/>
              </w:rPr>
              <w:t>宜</w:t>
            </w:r>
            <w:r>
              <w:rPr>
                <w:rFonts w:hint="eastAsia" w:ascii="宋体" w:hAnsi="宋体" w:eastAsia="宋体"/>
                <w:kern w:val="0"/>
              </w:rPr>
              <w:t>根据</w:t>
            </w:r>
            <w:r>
              <w:rPr>
                <w:rFonts w:hint="eastAsia" w:ascii="宋体" w:hAnsi="宋体" w:eastAsia="宋体"/>
                <w:kern w:val="0"/>
                <w:u w:val="single"/>
              </w:rPr>
              <w:t>信息类型、</w:t>
            </w:r>
            <w:r>
              <w:rPr>
                <w:rFonts w:hint="eastAsia" w:ascii="宋体" w:hAnsi="宋体" w:eastAsia="宋体"/>
                <w:kern w:val="0"/>
              </w:rPr>
              <w:t>信息重要级别及安全程度，分别设置供医院内部使用的专用网</w:t>
            </w:r>
            <w:r>
              <w:rPr>
                <w:rFonts w:hint="eastAsia" w:ascii="宋体" w:hAnsi="宋体" w:eastAsia="宋体"/>
                <w:kern w:val="0"/>
                <w:u w:val="single"/>
              </w:rPr>
              <w:t>（内网）、</w:t>
            </w:r>
            <w:r>
              <w:rPr>
                <w:rFonts w:hint="eastAsia" w:ascii="宋体" w:hAnsi="宋体" w:eastAsia="宋体"/>
                <w:kern w:val="0"/>
              </w:rPr>
              <w:t>公用信息传输的互联网</w:t>
            </w:r>
            <w:r>
              <w:rPr>
                <w:rFonts w:hint="eastAsia" w:ascii="宋体" w:hAnsi="宋体" w:eastAsia="宋体"/>
                <w:kern w:val="0"/>
                <w:u w:val="single"/>
              </w:rPr>
              <w:t>（外网）及支持建筑设备的设备网络</w:t>
            </w:r>
            <w:r>
              <w:rPr>
                <w:rFonts w:hint="eastAsia" w:ascii="宋体" w:hAnsi="宋体" w:eastAsia="宋体"/>
                <w:kern w:val="0"/>
              </w:rPr>
              <w:t>。</w:t>
            </w:r>
          </w:p>
          <w:p w14:paraId="345C4DD7">
            <w:pPr>
              <w:ind w:firstLine="480" w:firstLineChars="200"/>
              <w:rPr>
                <w:rFonts w:ascii="宋体" w:hAnsi="宋体" w:eastAsia="宋体"/>
                <w:kern w:val="0"/>
              </w:rPr>
            </w:pPr>
            <w:r>
              <w:rPr>
                <w:rFonts w:hint="eastAsia" w:ascii="宋体" w:hAnsi="宋体" w:eastAsia="宋体"/>
                <w:kern w:val="0"/>
              </w:rPr>
              <w:t>2 应采用以太网交换技术和相应的网络结构。</w:t>
            </w:r>
          </w:p>
          <w:p w14:paraId="54230DA4">
            <w:pPr>
              <w:ind w:firstLine="480" w:firstLineChars="200"/>
              <w:rPr>
                <w:rFonts w:ascii="宋体" w:hAnsi="宋体" w:eastAsia="宋体"/>
                <w:kern w:val="0"/>
              </w:rPr>
            </w:pPr>
            <w:r>
              <w:rPr>
                <w:rFonts w:hint="eastAsia" w:ascii="宋体" w:hAnsi="宋体" w:eastAsia="宋体"/>
                <w:kern w:val="0"/>
              </w:rPr>
              <w:t>3 应配置核心交换机和接入交换机。可根据信息点分布和规模，增设汇聚层交换机。</w:t>
            </w:r>
          </w:p>
          <w:p w14:paraId="5FCF32EE">
            <w:pPr>
              <w:ind w:firstLine="480" w:firstLineChars="200"/>
              <w:rPr>
                <w:rFonts w:ascii="宋体" w:hAnsi="宋体" w:eastAsia="宋体"/>
                <w:kern w:val="0"/>
              </w:rPr>
            </w:pPr>
            <w:r>
              <w:rPr>
                <w:rFonts w:hint="eastAsia" w:ascii="宋体" w:hAnsi="宋体" w:eastAsia="宋体"/>
                <w:kern w:val="0"/>
              </w:rPr>
              <w:t>4 医院内部使用的专用网宜采用网络的冗余配置。</w:t>
            </w:r>
          </w:p>
          <w:p w14:paraId="2AE1B2F2">
            <w:pPr>
              <w:ind w:firstLine="480" w:firstLineChars="200"/>
              <w:rPr>
                <w:rFonts w:ascii="宋体" w:hAnsi="宋体" w:eastAsia="宋体"/>
                <w:u w:val="single"/>
              </w:rPr>
            </w:pPr>
            <w:r>
              <w:rPr>
                <w:rFonts w:hint="eastAsia" w:ascii="宋体" w:hAnsi="宋体" w:eastAsia="宋体"/>
                <w:kern w:val="0"/>
                <w:u w:val="single"/>
              </w:rPr>
              <w:t>5</w:t>
            </w:r>
            <w:r>
              <w:rPr>
                <w:rFonts w:ascii="宋体" w:hAnsi="宋体" w:eastAsia="宋体"/>
                <w:kern w:val="0"/>
                <w:u w:val="single"/>
              </w:rPr>
              <w:t xml:space="preserve"> </w:t>
            </w:r>
            <w:r>
              <w:rPr>
                <w:rFonts w:hint="eastAsia" w:ascii="宋体" w:hAnsi="宋体" w:eastAsia="宋体"/>
                <w:kern w:val="0"/>
                <w:u w:val="single"/>
              </w:rPr>
              <w:t>宜在全院区设置局域网无线AP点。</w:t>
            </w:r>
          </w:p>
        </w:tc>
      </w:tr>
      <w:tr w14:paraId="32C8B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035E58D">
            <w:r>
              <w:rPr>
                <w:rFonts w:hint="eastAsia" w:ascii="宋体" w:hAnsi="宋体" w:eastAsia="宋体"/>
              </w:rPr>
              <w:t>9.2.5 当设置室内</w:t>
            </w:r>
            <w:r>
              <w:rPr>
                <w:rFonts w:hint="eastAsia" w:ascii="宋体" w:hAnsi="宋体" w:eastAsia="宋体"/>
                <w:bdr w:val="single" w:color="auto" w:sz="4" w:space="0"/>
              </w:rPr>
              <w:t>移动通讯</w:t>
            </w:r>
            <w:r>
              <w:rPr>
                <w:rFonts w:hint="eastAsia" w:ascii="宋体" w:hAnsi="宋体" w:eastAsia="宋体"/>
              </w:rPr>
              <w:t>覆盖系统时，应预留路由及设备安装空间。</w:t>
            </w:r>
          </w:p>
        </w:tc>
        <w:tc>
          <w:tcPr>
            <w:tcW w:w="4261" w:type="dxa"/>
          </w:tcPr>
          <w:p w14:paraId="0EB437AE">
            <w:r>
              <w:rPr>
                <w:rFonts w:hint="eastAsia" w:ascii="宋体" w:hAnsi="宋体" w:eastAsia="宋体"/>
              </w:rPr>
              <w:t>9.2.5 当设置</w:t>
            </w:r>
            <w:r>
              <w:rPr>
                <w:rFonts w:hint="eastAsia" w:ascii="宋体" w:hAnsi="宋体" w:eastAsia="宋体"/>
                <w:u w:val="single"/>
              </w:rPr>
              <w:t>移动通讯</w:t>
            </w:r>
            <w:r>
              <w:rPr>
                <w:rFonts w:hint="eastAsia" w:ascii="宋体" w:hAnsi="宋体" w:eastAsia="宋体"/>
              </w:rPr>
              <w:t>室内</w:t>
            </w:r>
            <w:r>
              <w:rPr>
                <w:rFonts w:hint="eastAsia" w:ascii="宋体" w:hAnsi="宋体" w:eastAsia="宋体"/>
                <w:u w:val="single"/>
              </w:rPr>
              <w:t>信号</w:t>
            </w:r>
            <w:r>
              <w:rPr>
                <w:rFonts w:hint="eastAsia" w:ascii="宋体" w:hAnsi="宋体" w:eastAsia="宋体"/>
              </w:rPr>
              <w:t>覆盖系统时，应预留路由及设备安装空间。</w:t>
            </w:r>
          </w:p>
        </w:tc>
      </w:tr>
      <w:tr w14:paraId="0F5B4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A65127D">
            <w:pPr>
              <w:rPr>
                <w:rFonts w:ascii="宋体" w:hAnsi="宋体" w:eastAsia="宋体"/>
                <w:szCs w:val="22"/>
              </w:rPr>
            </w:pPr>
            <w:r>
              <w:rPr>
                <w:rFonts w:hint="eastAsia" w:ascii="宋体" w:hAnsi="宋体" w:eastAsia="宋体"/>
                <w:szCs w:val="22"/>
              </w:rPr>
              <w:t>9.2.7 当设置有线电视系统时，应符合下列要求：</w:t>
            </w:r>
          </w:p>
          <w:p w14:paraId="72832757">
            <w:pPr>
              <w:ind w:firstLine="480" w:firstLineChars="200"/>
              <w:rPr>
                <w:rFonts w:ascii="宋体" w:hAnsi="宋体" w:eastAsia="宋体"/>
                <w:kern w:val="0"/>
              </w:rPr>
            </w:pPr>
            <w:r>
              <w:rPr>
                <w:rFonts w:hint="eastAsia" w:ascii="宋体" w:hAnsi="宋体" w:eastAsia="宋体"/>
                <w:kern w:val="0"/>
                <w:bdr w:val="single" w:color="auto" w:sz="4" w:space="0"/>
              </w:rPr>
              <w:t xml:space="preserve">1 </w:t>
            </w:r>
            <w:r>
              <w:rPr>
                <w:rFonts w:hint="eastAsia" w:ascii="宋体" w:hAnsi="宋体" w:eastAsia="宋体"/>
                <w:kern w:val="0"/>
              </w:rPr>
              <w:t>有线电视插座宜设置在大堂、收费和挂号窗、候诊室、休息室、咖啡厅、输液室、会议室、示教室、医疗康复中心、病房等安装电视机屏幕的附近</w:t>
            </w:r>
            <w:r>
              <w:rPr>
                <w:rFonts w:hint="eastAsia" w:ascii="宋体" w:hAnsi="宋体" w:eastAsia="宋体"/>
                <w:kern w:val="0"/>
                <w:bdr w:val="single" w:color="auto" w:sz="4" w:space="0"/>
              </w:rPr>
              <w:t>；</w:t>
            </w:r>
          </w:p>
          <w:p w14:paraId="2C891DF5">
            <w:pPr>
              <w:ind w:firstLine="480" w:firstLineChars="200"/>
            </w:pPr>
            <w:r>
              <w:rPr>
                <w:rFonts w:hint="eastAsia" w:ascii="宋体" w:hAnsi="宋体" w:eastAsia="宋体"/>
                <w:kern w:val="0"/>
                <w:bdr w:val="single" w:color="auto" w:sz="4" w:space="0"/>
              </w:rPr>
              <w:t>2 当多人间病房采用电视伴音系统时，宜在每个患者床前设置带有音量可调节的耳机收听插孔。</w:t>
            </w:r>
          </w:p>
        </w:tc>
        <w:tc>
          <w:tcPr>
            <w:tcW w:w="4261" w:type="dxa"/>
          </w:tcPr>
          <w:p w14:paraId="234F0278">
            <w:pPr>
              <w:rPr>
                <w:rFonts w:ascii="宋体" w:hAnsi="宋体" w:eastAsia="宋体"/>
                <w:szCs w:val="22"/>
              </w:rPr>
            </w:pPr>
            <w:r>
              <w:rPr>
                <w:rFonts w:hint="eastAsia" w:ascii="宋体" w:hAnsi="宋体" w:eastAsia="宋体"/>
                <w:szCs w:val="22"/>
              </w:rPr>
              <w:t>9.2.7 当设置有线电视系统时，应符合下列要求：</w:t>
            </w:r>
          </w:p>
          <w:p w14:paraId="291E6D7E">
            <w:pPr>
              <w:ind w:firstLine="480" w:firstLineChars="200"/>
            </w:pPr>
            <w:r>
              <w:rPr>
                <w:rFonts w:hint="eastAsia" w:ascii="宋体" w:hAnsi="宋体" w:eastAsia="宋体"/>
                <w:kern w:val="0"/>
              </w:rPr>
              <w:t>有线电视插座宜设置在大堂、收费和挂号窗、候诊室、休息室、咖啡厅、输液室、会议室、示教室、医疗康复中心、病房等安装电视机屏幕的附近</w:t>
            </w:r>
            <w:r>
              <w:rPr>
                <w:rFonts w:hint="eastAsia" w:ascii="宋体" w:hAnsi="宋体" w:eastAsia="宋体"/>
                <w:kern w:val="0"/>
                <w:u w:val="single"/>
              </w:rPr>
              <w:t>。</w:t>
            </w:r>
          </w:p>
        </w:tc>
      </w:tr>
      <w:tr w14:paraId="50BFF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AEFBD8E"/>
        </w:tc>
        <w:tc>
          <w:tcPr>
            <w:tcW w:w="4261" w:type="dxa"/>
          </w:tcPr>
          <w:p w14:paraId="1A47D4EB">
            <w:r>
              <w:rPr>
                <w:rFonts w:hint="eastAsia" w:ascii="宋体" w:hAnsi="宋体" w:eastAsia="宋体"/>
                <w:szCs w:val="22"/>
                <w:u w:val="single"/>
              </w:rPr>
              <w:t>9.2.11</w:t>
            </w:r>
            <w:r>
              <w:rPr>
                <w:rFonts w:ascii="宋体" w:hAnsi="宋体" w:eastAsia="宋体"/>
                <w:szCs w:val="22"/>
                <w:u w:val="single"/>
              </w:rPr>
              <w:t xml:space="preserve"> </w:t>
            </w:r>
            <w:r>
              <w:rPr>
                <w:rFonts w:hint="eastAsia" w:ascii="宋体" w:hAnsi="宋体" w:eastAsia="宋体"/>
                <w:szCs w:val="22"/>
                <w:u w:val="single"/>
              </w:rPr>
              <w:t>宜设置远程会诊系统，远程会诊系统功能应结合医院的需求及功能定位设计。</w:t>
            </w:r>
          </w:p>
        </w:tc>
      </w:tr>
      <w:tr w14:paraId="53783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F79DE25"/>
        </w:tc>
        <w:tc>
          <w:tcPr>
            <w:tcW w:w="4261" w:type="dxa"/>
          </w:tcPr>
          <w:p w14:paraId="314C341E">
            <w:r>
              <w:rPr>
                <w:rFonts w:hint="eastAsia" w:ascii="宋体" w:hAnsi="宋体" w:eastAsia="宋体"/>
                <w:szCs w:val="22"/>
                <w:u w:val="single"/>
              </w:rPr>
              <w:t>9.2.12</w:t>
            </w:r>
            <w:r>
              <w:rPr>
                <w:rFonts w:ascii="宋体" w:hAnsi="宋体" w:eastAsia="宋体"/>
                <w:szCs w:val="22"/>
                <w:u w:val="single"/>
              </w:rPr>
              <w:t xml:space="preserve"> </w:t>
            </w:r>
            <w:r>
              <w:rPr>
                <w:rFonts w:hint="eastAsia" w:ascii="宋体" w:hAnsi="宋体" w:eastAsia="宋体"/>
                <w:szCs w:val="22"/>
                <w:u w:val="single"/>
              </w:rPr>
              <w:t>宜设置医疗物联网系统，物联网基站应支持多种通讯协议或具备协议扩展功能，物联网应用系统应结合医院的需求设计。</w:t>
            </w:r>
          </w:p>
        </w:tc>
      </w:tr>
      <w:tr w14:paraId="615DF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57CFED1">
            <w:pPr>
              <w:jc w:val="center"/>
              <w:rPr>
                <w:rFonts w:asciiTheme="minorEastAsia" w:hAnsiTheme="minorEastAsia"/>
              </w:rPr>
            </w:pPr>
            <w:r>
              <w:rPr>
                <w:rFonts w:hint="eastAsia" w:asciiTheme="minorEastAsia" w:hAnsiTheme="minorEastAsia"/>
              </w:rPr>
              <w:t>9.3 信息化应用系统</w:t>
            </w:r>
          </w:p>
        </w:tc>
        <w:tc>
          <w:tcPr>
            <w:tcW w:w="4261" w:type="dxa"/>
          </w:tcPr>
          <w:p w14:paraId="67487283">
            <w:pPr>
              <w:jc w:val="center"/>
              <w:rPr>
                <w:rFonts w:asciiTheme="minorEastAsia" w:hAnsiTheme="minorEastAsia"/>
              </w:rPr>
            </w:pPr>
            <w:r>
              <w:rPr>
                <w:rFonts w:hint="eastAsia" w:asciiTheme="minorEastAsia" w:hAnsiTheme="minorEastAsia"/>
              </w:rPr>
              <w:t>9.3 信息化应用系统</w:t>
            </w:r>
          </w:p>
        </w:tc>
      </w:tr>
      <w:tr w14:paraId="55077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DAFB6AB">
            <w:r>
              <w:rPr>
                <w:rFonts w:hint="eastAsia" w:ascii="宋体" w:hAnsi="宋体" w:eastAsia="宋体"/>
                <w:szCs w:val="22"/>
              </w:rPr>
              <w:t>9.3.1 医院信息系统宜由管理信息系统、临床信息系统和信息支持与维护系统组成。</w:t>
            </w:r>
          </w:p>
        </w:tc>
        <w:tc>
          <w:tcPr>
            <w:tcW w:w="4261" w:type="dxa"/>
          </w:tcPr>
          <w:p w14:paraId="08FFB676">
            <w:r>
              <w:rPr>
                <w:rFonts w:hint="eastAsia" w:ascii="宋体" w:hAnsi="宋体" w:eastAsia="宋体"/>
                <w:szCs w:val="22"/>
              </w:rPr>
              <w:t>9.3.1 医院信息系统宜由管理信息系统、临床信息系统</w:t>
            </w:r>
            <w:r>
              <w:rPr>
                <w:rFonts w:hint="eastAsia" w:ascii="宋体" w:hAnsi="宋体" w:eastAsia="宋体"/>
                <w:szCs w:val="22"/>
                <w:u w:val="single"/>
              </w:rPr>
              <w:t>、区域</w:t>
            </w:r>
            <w:r>
              <w:rPr>
                <w:rFonts w:ascii="宋体" w:hAnsi="宋体" w:eastAsia="宋体"/>
                <w:szCs w:val="22"/>
                <w:u w:val="single"/>
              </w:rPr>
              <w:t>医疗协同信息子系统</w:t>
            </w:r>
            <w:r>
              <w:rPr>
                <w:rFonts w:hint="eastAsia" w:ascii="宋体" w:hAnsi="宋体" w:eastAsia="宋体"/>
                <w:szCs w:val="22"/>
              </w:rPr>
              <w:t>和信息支持与维护系统组成。</w:t>
            </w:r>
          </w:p>
        </w:tc>
      </w:tr>
      <w:tr w14:paraId="4767A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A359444">
            <w:pPr>
              <w:rPr>
                <w:rFonts w:ascii="宋体" w:hAnsi="宋体" w:eastAsia="宋体"/>
                <w:szCs w:val="22"/>
              </w:rPr>
            </w:pPr>
            <w:r>
              <w:rPr>
                <w:rFonts w:hint="eastAsia" w:ascii="宋体" w:hAnsi="宋体" w:eastAsia="宋体"/>
                <w:szCs w:val="22"/>
              </w:rPr>
              <w:t>9.3.2 当设置</w:t>
            </w:r>
            <w:r>
              <w:rPr>
                <w:rFonts w:hint="eastAsia" w:ascii="宋体" w:hAnsi="宋体" w:eastAsia="宋体"/>
                <w:szCs w:val="22"/>
                <w:bdr w:val="single" w:color="auto" w:sz="4" w:space="0"/>
              </w:rPr>
              <w:t>排队叫号</w:t>
            </w:r>
            <w:r>
              <w:rPr>
                <w:rFonts w:hint="eastAsia" w:ascii="宋体" w:hAnsi="宋体" w:eastAsia="宋体"/>
                <w:szCs w:val="22"/>
              </w:rPr>
              <w:t>系统时，应符合下列要求：</w:t>
            </w:r>
          </w:p>
          <w:p w14:paraId="1485B9B7">
            <w:pPr>
              <w:ind w:firstLine="480" w:firstLineChars="200"/>
              <w:rPr>
                <w:rFonts w:ascii="宋体" w:hAnsi="宋体" w:eastAsia="宋体"/>
                <w:kern w:val="0"/>
              </w:rPr>
            </w:pPr>
            <w:r>
              <w:rPr>
                <w:rFonts w:hint="eastAsia" w:ascii="宋体" w:hAnsi="宋体" w:eastAsia="宋体"/>
                <w:kern w:val="0"/>
              </w:rPr>
              <w:t>1 宜采用网络型架构，系统软件与医院信息化系统连接；</w:t>
            </w:r>
          </w:p>
          <w:p w14:paraId="6932601E">
            <w:pPr>
              <w:ind w:firstLine="480" w:firstLineChars="200"/>
              <w:rPr>
                <w:rFonts w:ascii="宋体" w:hAnsi="宋体" w:eastAsia="宋体"/>
                <w:kern w:val="0"/>
              </w:rPr>
            </w:pPr>
            <w:r>
              <w:rPr>
                <w:rFonts w:hint="eastAsia" w:ascii="宋体" w:hAnsi="宋体" w:eastAsia="宋体"/>
                <w:kern w:val="0"/>
              </w:rPr>
              <w:t>2 在挂号窗口和分诊排队护士站应设置屏幕显示和语音提示装置；</w:t>
            </w:r>
          </w:p>
          <w:p w14:paraId="4C9E5968">
            <w:pPr>
              <w:ind w:firstLine="480" w:firstLineChars="200"/>
            </w:pPr>
            <w:r>
              <w:rPr>
                <w:rFonts w:hint="eastAsia" w:ascii="宋体" w:hAnsi="宋体" w:eastAsia="宋体"/>
                <w:kern w:val="0"/>
              </w:rPr>
              <w:t>3 可根据具体情况在诊室设置虚拟或物理呼叫器。</w:t>
            </w:r>
          </w:p>
        </w:tc>
        <w:tc>
          <w:tcPr>
            <w:tcW w:w="4261" w:type="dxa"/>
          </w:tcPr>
          <w:p w14:paraId="71D8C3F1">
            <w:pPr>
              <w:rPr>
                <w:rFonts w:ascii="宋体" w:hAnsi="宋体" w:eastAsia="宋体"/>
                <w:szCs w:val="22"/>
              </w:rPr>
            </w:pPr>
            <w:r>
              <w:rPr>
                <w:rFonts w:hint="eastAsia" w:ascii="宋体" w:hAnsi="宋体" w:eastAsia="宋体"/>
                <w:szCs w:val="22"/>
              </w:rPr>
              <w:t>9.3.2 当设置</w:t>
            </w:r>
            <w:r>
              <w:rPr>
                <w:rFonts w:hint="eastAsia" w:ascii="宋体" w:hAnsi="宋体" w:eastAsia="宋体"/>
                <w:szCs w:val="22"/>
                <w:u w:val="single"/>
              </w:rPr>
              <w:t>候诊呼叫信号</w:t>
            </w:r>
            <w:r>
              <w:rPr>
                <w:rFonts w:hint="eastAsia" w:ascii="宋体" w:hAnsi="宋体" w:eastAsia="宋体"/>
                <w:szCs w:val="22"/>
              </w:rPr>
              <w:t>系统时，应符合下列要求：</w:t>
            </w:r>
          </w:p>
          <w:p w14:paraId="23E1FA99">
            <w:pPr>
              <w:ind w:firstLine="480" w:firstLineChars="200"/>
              <w:rPr>
                <w:rFonts w:ascii="宋体" w:hAnsi="宋体" w:eastAsia="宋体"/>
                <w:kern w:val="0"/>
              </w:rPr>
            </w:pPr>
            <w:r>
              <w:rPr>
                <w:rFonts w:hint="eastAsia" w:ascii="宋体" w:hAnsi="宋体" w:eastAsia="宋体"/>
                <w:kern w:val="0"/>
              </w:rPr>
              <w:t>1 宜采用网络型架构，系统软件与医院信息化系统连接；</w:t>
            </w:r>
          </w:p>
          <w:p w14:paraId="2F5797C6">
            <w:pPr>
              <w:ind w:firstLine="480" w:firstLineChars="200"/>
              <w:rPr>
                <w:rFonts w:ascii="宋体" w:hAnsi="宋体" w:eastAsia="宋体"/>
                <w:kern w:val="0"/>
              </w:rPr>
            </w:pPr>
            <w:r>
              <w:rPr>
                <w:rFonts w:hint="eastAsia" w:ascii="宋体" w:hAnsi="宋体" w:eastAsia="宋体"/>
                <w:kern w:val="0"/>
              </w:rPr>
              <w:t>2 在挂号窗口和分诊排队护士站应设置屏幕显示和语音提示装置；</w:t>
            </w:r>
          </w:p>
          <w:p w14:paraId="4E6658C0">
            <w:pPr>
              <w:ind w:firstLine="480" w:firstLineChars="200"/>
            </w:pPr>
            <w:r>
              <w:rPr>
                <w:rFonts w:hint="eastAsia" w:ascii="宋体" w:hAnsi="宋体" w:eastAsia="宋体"/>
                <w:kern w:val="0"/>
              </w:rPr>
              <w:t>3 可根据具体情况在诊室设置虚拟或物理呼叫器。</w:t>
            </w:r>
          </w:p>
        </w:tc>
      </w:tr>
      <w:tr w14:paraId="7A632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E34B63F">
            <w:pPr>
              <w:rPr>
                <w:rFonts w:ascii="宋体" w:hAnsi="宋体" w:eastAsia="宋体"/>
                <w:szCs w:val="22"/>
              </w:rPr>
            </w:pPr>
            <w:r>
              <w:rPr>
                <w:rFonts w:hint="eastAsia" w:ascii="宋体" w:hAnsi="宋体" w:eastAsia="宋体"/>
                <w:szCs w:val="22"/>
              </w:rPr>
              <w:t>9.3.3 监护病房宜设置探视系统，并应符合下列要求：</w:t>
            </w:r>
          </w:p>
          <w:p w14:paraId="774081C0">
            <w:pPr>
              <w:ind w:firstLine="480" w:firstLineChars="200"/>
              <w:rPr>
                <w:rFonts w:ascii="宋体" w:hAnsi="宋体" w:eastAsia="宋体"/>
                <w:kern w:val="0"/>
              </w:rPr>
            </w:pPr>
            <w:r>
              <w:rPr>
                <w:rFonts w:hint="eastAsia" w:ascii="宋体" w:hAnsi="宋体" w:eastAsia="宋体"/>
                <w:kern w:val="0"/>
              </w:rPr>
              <w:t>1 宜设置语音与视频信号的双向传输，其操作控制系统应设在护士站内；</w:t>
            </w:r>
          </w:p>
          <w:p w14:paraId="00BE8E20">
            <w:pPr>
              <w:ind w:firstLine="480" w:firstLineChars="200"/>
            </w:pPr>
            <w:r>
              <w:rPr>
                <w:rFonts w:hint="eastAsia" w:ascii="宋体" w:hAnsi="宋体" w:eastAsia="宋体"/>
                <w:kern w:val="0"/>
              </w:rPr>
              <w:t>2 患者终端宜使用简单、易于操作。探视终端宜具备相对的私密性。</w:t>
            </w:r>
          </w:p>
        </w:tc>
        <w:tc>
          <w:tcPr>
            <w:tcW w:w="4261" w:type="dxa"/>
          </w:tcPr>
          <w:p w14:paraId="295F2057">
            <w:pPr>
              <w:rPr>
                <w:rFonts w:ascii="宋体" w:hAnsi="宋体" w:eastAsia="宋体"/>
                <w:szCs w:val="22"/>
              </w:rPr>
            </w:pPr>
            <w:r>
              <w:rPr>
                <w:rFonts w:hint="eastAsia" w:ascii="宋体" w:hAnsi="宋体" w:eastAsia="宋体"/>
                <w:szCs w:val="22"/>
              </w:rPr>
              <w:t>9.3.3 监护病房宜设置</w:t>
            </w:r>
            <w:r>
              <w:rPr>
                <w:rFonts w:hint="eastAsia" w:ascii="宋体" w:hAnsi="宋体" w:eastAsia="宋体"/>
                <w:szCs w:val="22"/>
                <w:u w:val="single"/>
              </w:rPr>
              <w:t>病房</w:t>
            </w:r>
            <w:r>
              <w:rPr>
                <w:rFonts w:hint="eastAsia" w:ascii="宋体" w:hAnsi="宋体" w:eastAsia="宋体"/>
                <w:szCs w:val="22"/>
              </w:rPr>
              <w:t>探视系统，并应符合下列要求：</w:t>
            </w:r>
          </w:p>
          <w:p w14:paraId="22295CB1">
            <w:pPr>
              <w:ind w:firstLine="480" w:firstLineChars="200"/>
              <w:rPr>
                <w:rFonts w:ascii="宋体" w:hAnsi="宋体" w:eastAsia="宋体"/>
                <w:kern w:val="0"/>
              </w:rPr>
            </w:pPr>
            <w:r>
              <w:rPr>
                <w:rFonts w:hint="eastAsia" w:ascii="宋体" w:hAnsi="宋体" w:eastAsia="宋体"/>
                <w:kern w:val="0"/>
              </w:rPr>
              <w:t>1 宜设置语音与视频信号的双向传输，其操作控制系统应设在护士站内；</w:t>
            </w:r>
          </w:p>
          <w:p w14:paraId="61B86763">
            <w:pPr>
              <w:ind w:firstLine="480" w:firstLineChars="200"/>
            </w:pPr>
            <w:r>
              <w:rPr>
                <w:rFonts w:hint="eastAsia" w:ascii="宋体" w:hAnsi="宋体" w:eastAsia="宋体"/>
                <w:kern w:val="0"/>
              </w:rPr>
              <w:t>2 患者终端宜使用简单、易于操作。探视终端宜具备相对的私密性。</w:t>
            </w:r>
          </w:p>
        </w:tc>
      </w:tr>
      <w:tr w14:paraId="5CA45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A2A1E6D">
            <w:pPr>
              <w:rPr>
                <w:rFonts w:ascii="宋体" w:hAnsi="宋体" w:eastAsia="宋体"/>
                <w:szCs w:val="22"/>
              </w:rPr>
            </w:pPr>
            <w:r>
              <w:rPr>
                <w:rFonts w:hint="eastAsia" w:ascii="宋体" w:hAnsi="宋体" w:eastAsia="宋体"/>
                <w:szCs w:val="22"/>
              </w:rPr>
              <w:t>9.3.4 当设置手术室视频示教系统时，应符合下列要求：</w:t>
            </w:r>
          </w:p>
          <w:p w14:paraId="4CDE162F">
            <w:pPr>
              <w:ind w:firstLine="480" w:firstLineChars="200"/>
              <w:rPr>
                <w:rFonts w:ascii="宋体" w:hAnsi="宋体" w:eastAsia="宋体"/>
                <w:kern w:val="0"/>
              </w:rPr>
            </w:pPr>
            <w:r>
              <w:rPr>
                <w:rFonts w:hint="eastAsia" w:ascii="宋体" w:hAnsi="宋体" w:eastAsia="宋体"/>
                <w:kern w:val="0"/>
              </w:rPr>
              <w:t>1 视频信号应单向上传，语音信号应双向传输。</w:t>
            </w:r>
          </w:p>
          <w:p w14:paraId="7F05FA10">
            <w:pPr>
              <w:ind w:firstLine="480" w:firstLineChars="200"/>
              <w:rPr>
                <w:rFonts w:ascii="宋体" w:hAnsi="宋体" w:eastAsia="宋体"/>
                <w:kern w:val="0"/>
              </w:rPr>
            </w:pPr>
            <w:r>
              <w:rPr>
                <w:rFonts w:hint="eastAsia" w:ascii="宋体" w:hAnsi="宋体" w:eastAsia="宋体"/>
                <w:kern w:val="0"/>
              </w:rPr>
              <w:t>2 视频应采集全景和局部（无影灯摄像机）的图像信号，并应设备用插座，可在吊塔上设置用于转播的高清摄像机。示教室应设置显示屏。</w:t>
            </w:r>
          </w:p>
          <w:p w14:paraId="235734B8">
            <w:pPr>
              <w:ind w:firstLine="480" w:firstLineChars="200"/>
              <w:rPr>
                <w:rFonts w:ascii="宋体" w:hAnsi="宋体" w:eastAsia="宋体"/>
                <w:kern w:val="0"/>
              </w:rPr>
            </w:pPr>
            <w:r>
              <w:rPr>
                <w:rFonts w:hint="eastAsia" w:ascii="宋体" w:hAnsi="宋体" w:eastAsia="宋体"/>
                <w:kern w:val="0"/>
              </w:rPr>
              <w:t>3 控制间应对所有示教手术室的图像与音频信号进行切换管理。</w:t>
            </w:r>
          </w:p>
          <w:p w14:paraId="638E48E3">
            <w:pPr>
              <w:ind w:firstLine="480" w:firstLineChars="200"/>
            </w:pPr>
            <w:r>
              <w:rPr>
                <w:rFonts w:hint="eastAsia" w:ascii="宋体" w:hAnsi="宋体" w:eastAsia="宋体"/>
                <w:kern w:val="0"/>
              </w:rPr>
              <w:t>4 视频示教系统不应接入有线电视系统。</w:t>
            </w:r>
          </w:p>
        </w:tc>
        <w:tc>
          <w:tcPr>
            <w:tcW w:w="4261" w:type="dxa"/>
          </w:tcPr>
          <w:p w14:paraId="648F28B2">
            <w:pPr>
              <w:rPr>
                <w:rFonts w:ascii="宋体" w:hAnsi="宋体" w:eastAsia="宋体"/>
                <w:szCs w:val="22"/>
              </w:rPr>
            </w:pPr>
            <w:r>
              <w:rPr>
                <w:rFonts w:hint="eastAsia" w:ascii="宋体" w:hAnsi="宋体" w:eastAsia="宋体"/>
                <w:szCs w:val="22"/>
              </w:rPr>
              <w:t>9.3.4 当设置手术室视频示教系统时，应符合下列要求：</w:t>
            </w:r>
          </w:p>
          <w:p w14:paraId="631914A5">
            <w:pPr>
              <w:ind w:firstLine="480" w:firstLineChars="200"/>
              <w:rPr>
                <w:rFonts w:ascii="宋体" w:hAnsi="宋体" w:eastAsia="宋体"/>
                <w:kern w:val="0"/>
              </w:rPr>
            </w:pPr>
            <w:r>
              <w:rPr>
                <w:rFonts w:hint="eastAsia" w:ascii="宋体" w:hAnsi="宋体" w:eastAsia="宋体"/>
                <w:kern w:val="0"/>
              </w:rPr>
              <w:t>1 视频信号应单向上传，语音信号应双向传输。</w:t>
            </w:r>
          </w:p>
          <w:p w14:paraId="5439F1EE">
            <w:pPr>
              <w:ind w:firstLine="480" w:firstLineChars="200"/>
              <w:rPr>
                <w:rFonts w:ascii="宋体" w:hAnsi="宋体" w:eastAsia="宋体"/>
                <w:kern w:val="0"/>
              </w:rPr>
            </w:pPr>
            <w:r>
              <w:rPr>
                <w:rFonts w:hint="eastAsia" w:ascii="宋体" w:hAnsi="宋体" w:eastAsia="宋体"/>
                <w:kern w:val="0"/>
              </w:rPr>
              <w:t>2 视频应采集全景和局部（无影灯摄像机）的图像信号，并应设备用插座，可在吊塔上设置用于转播的高清摄像机。示教室应设置显示屏。</w:t>
            </w:r>
          </w:p>
          <w:p w14:paraId="4E031831">
            <w:pPr>
              <w:ind w:firstLine="480" w:firstLineChars="200"/>
              <w:rPr>
                <w:rFonts w:ascii="宋体" w:hAnsi="宋体" w:eastAsia="宋体"/>
                <w:kern w:val="0"/>
              </w:rPr>
            </w:pPr>
            <w:r>
              <w:rPr>
                <w:rFonts w:hint="eastAsia" w:ascii="宋体" w:hAnsi="宋体" w:eastAsia="宋体"/>
                <w:kern w:val="0"/>
              </w:rPr>
              <w:t>3 控制间应对所有示教手术室的图像与音频信号进行切换管理。</w:t>
            </w:r>
          </w:p>
          <w:p w14:paraId="67C3FCBF">
            <w:pPr>
              <w:ind w:firstLine="480" w:firstLineChars="200"/>
              <w:rPr>
                <w:rFonts w:ascii="宋体" w:hAnsi="宋体" w:eastAsia="宋体"/>
                <w:kern w:val="0"/>
              </w:rPr>
            </w:pPr>
            <w:r>
              <w:rPr>
                <w:rFonts w:hint="eastAsia" w:ascii="宋体" w:hAnsi="宋体" w:eastAsia="宋体"/>
                <w:kern w:val="0"/>
              </w:rPr>
              <w:t>4 视频示教系统不应接入有线电视系统。</w:t>
            </w:r>
          </w:p>
          <w:p w14:paraId="64C40945">
            <w:pPr>
              <w:ind w:firstLine="480" w:firstLineChars="200"/>
              <w:rPr>
                <w:rFonts w:ascii="宋体" w:hAnsi="宋体" w:eastAsia="宋体"/>
                <w:kern w:val="0"/>
                <w:u w:val="single"/>
              </w:rPr>
            </w:pPr>
            <w:r>
              <w:rPr>
                <w:rFonts w:ascii="宋体" w:hAnsi="宋体" w:eastAsia="宋体"/>
                <w:kern w:val="0"/>
                <w:u w:val="single"/>
              </w:rPr>
              <w:t>5 通过网络实现手术示教</w:t>
            </w:r>
            <w:r>
              <w:rPr>
                <w:rFonts w:hint="eastAsia" w:ascii="宋体" w:hAnsi="宋体" w:eastAsia="宋体"/>
                <w:kern w:val="0"/>
                <w:u w:val="single"/>
              </w:rPr>
              <w:t>、</w:t>
            </w:r>
            <w:r>
              <w:rPr>
                <w:rFonts w:ascii="宋体" w:hAnsi="宋体" w:eastAsia="宋体"/>
                <w:kern w:val="0"/>
                <w:u w:val="single"/>
              </w:rPr>
              <w:t>学术交流</w:t>
            </w:r>
            <w:r>
              <w:rPr>
                <w:rFonts w:hint="eastAsia" w:ascii="宋体" w:hAnsi="宋体" w:eastAsia="宋体"/>
                <w:kern w:val="0"/>
                <w:u w:val="single"/>
              </w:rPr>
              <w:t>、</w:t>
            </w:r>
            <w:r>
              <w:rPr>
                <w:rFonts w:ascii="宋体" w:hAnsi="宋体" w:eastAsia="宋体"/>
                <w:kern w:val="0"/>
                <w:u w:val="single"/>
              </w:rPr>
              <w:t>存储录像等</w:t>
            </w:r>
            <w:r>
              <w:rPr>
                <w:rFonts w:hint="eastAsia" w:ascii="宋体" w:hAnsi="宋体" w:eastAsia="宋体"/>
                <w:kern w:val="0"/>
                <w:u w:val="single"/>
              </w:rPr>
              <w:t>。</w:t>
            </w:r>
          </w:p>
          <w:p w14:paraId="4FA48CC2">
            <w:pPr>
              <w:ind w:firstLine="480" w:firstLineChars="200"/>
              <w:rPr>
                <w:rFonts w:ascii="宋体" w:hAnsi="宋体" w:eastAsia="宋体"/>
                <w:kern w:val="0"/>
                <w:u w:val="single"/>
              </w:rPr>
            </w:pPr>
            <w:r>
              <w:rPr>
                <w:rFonts w:ascii="宋体" w:hAnsi="宋体" w:eastAsia="宋体"/>
                <w:kern w:val="0"/>
                <w:u w:val="single"/>
              </w:rPr>
              <w:t>6 在院内任意网络接入点根据分配的用户权限对手术过程的音视频</w:t>
            </w:r>
            <w:r>
              <w:rPr>
                <w:rFonts w:hint="eastAsia" w:ascii="宋体" w:hAnsi="宋体" w:eastAsia="宋体"/>
                <w:kern w:val="0"/>
                <w:u w:val="single"/>
              </w:rPr>
              <w:t>进行播放和管理。</w:t>
            </w:r>
          </w:p>
          <w:p w14:paraId="76B8CF81">
            <w:pPr>
              <w:ind w:firstLine="480" w:firstLineChars="200"/>
              <w:rPr>
                <w:rFonts w:ascii="宋体" w:hAnsi="宋体" w:eastAsia="宋体"/>
                <w:kern w:val="0"/>
                <w:u w:val="single"/>
              </w:rPr>
            </w:pPr>
            <w:r>
              <w:rPr>
                <w:rFonts w:ascii="宋体" w:hAnsi="宋体" w:eastAsia="宋体"/>
                <w:kern w:val="0"/>
                <w:u w:val="single"/>
              </w:rPr>
              <w:t xml:space="preserve">7 </w:t>
            </w:r>
            <w:r>
              <w:rPr>
                <w:rFonts w:hint="eastAsia" w:ascii="宋体" w:hAnsi="宋体" w:eastAsia="宋体"/>
                <w:kern w:val="0"/>
                <w:u w:val="single"/>
              </w:rPr>
              <w:t>系统软件与医院信息化系统接口连接。</w:t>
            </w:r>
          </w:p>
          <w:p w14:paraId="2AFD90AF">
            <w:pPr>
              <w:ind w:firstLine="480" w:firstLineChars="200"/>
            </w:pPr>
            <w:r>
              <w:rPr>
                <w:rFonts w:ascii="宋体" w:hAnsi="宋体" w:eastAsia="宋体"/>
                <w:kern w:val="0"/>
                <w:u w:val="single"/>
              </w:rPr>
              <w:t>8 宜结合数字化手术室实现示教功能</w:t>
            </w:r>
            <w:r>
              <w:rPr>
                <w:rFonts w:hint="eastAsia" w:ascii="宋体" w:hAnsi="宋体" w:eastAsia="宋体"/>
                <w:kern w:val="0"/>
                <w:u w:val="single"/>
              </w:rPr>
              <w:t>。</w:t>
            </w:r>
          </w:p>
        </w:tc>
      </w:tr>
      <w:tr w14:paraId="71D73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7AF4064">
            <w:pPr>
              <w:rPr>
                <w:rFonts w:ascii="宋体" w:hAnsi="宋体" w:eastAsia="宋体"/>
                <w:szCs w:val="22"/>
              </w:rPr>
            </w:pPr>
            <w:r>
              <w:rPr>
                <w:rFonts w:hint="eastAsia" w:ascii="宋体" w:hAnsi="宋体" w:eastAsia="宋体"/>
                <w:szCs w:val="22"/>
              </w:rPr>
              <w:t>9.3.6 护理单元宜设置</w:t>
            </w:r>
            <w:r>
              <w:rPr>
                <w:rFonts w:hint="eastAsia" w:ascii="宋体" w:hAnsi="宋体" w:eastAsia="宋体"/>
                <w:szCs w:val="22"/>
                <w:bdr w:val="single" w:color="auto" w:sz="4" w:space="0"/>
              </w:rPr>
              <w:t>医护对讲</w:t>
            </w:r>
            <w:r>
              <w:rPr>
                <w:rFonts w:hint="eastAsia" w:ascii="宋体" w:hAnsi="宋体" w:eastAsia="宋体"/>
                <w:szCs w:val="22"/>
              </w:rPr>
              <w:t>系统，并应符合下列要求：</w:t>
            </w:r>
          </w:p>
          <w:p w14:paraId="09460709">
            <w:pPr>
              <w:ind w:firstLine="480" w:firstLineChars="200"/>
              <w:rPr>
                <w:rFonts w:ascii="宋体" w:hAnsi="宋体" w:eastAsia="宋体"/>
                <w:kern w:val="0"/>
              </w:rPr>
            </w:pPr>
            <w:r>
              <w:rPr>
                <w:rFonts w:hint="eastAsia" w:ascii="宋体" w:hAnsi="宋体" w:eastAsia="宋体"/>
                <w:kern w:val="0"/>
              </w:rPr>
              <w:t>1 病床前、卫生间应设置患者呼叫终端；</w:t>
            </w:r>
          </w:p>
          <w:p w14:paraId="5E889B6A">
            <w:pPr>
              <w:ind w:firstLine="480" w:firstLineChars="200"/>
              <w:rPr>
                <w:rFonts w:ascii="宋体" w:hAnsi="宋体" w:eastAsia="宋体"/>
                <w:kern w:val="0"/>
              </w:rPr>
            </w:pPr>
            <w:r>
              <w:rPr>
                <w:rFonts w:hint="eastAsia" w:ascii="宋体" w:hAnsi="宋体" w:eastAsia="宋体"/>
                <w:kern w:val="0"/>
              </w:rPr>
              <w:t>2 护士站应设置对讲总机；</w:t>
            </w:r>
          </w:p>
          <w:p w14:paraId="39BF25B9">
            <w:pPr>
              <w:ind w:firstLine="480" w:firstLineChars="200"/>
              <w:rPr>
                <w:rFonts w:ascii="宋体" w:hAnsi="宋体" w:eastAsia="宋体"/>
                <w:kern w:val="0"/>
              </w:rPr>
            </w:pPr>
            <w:r>
              <w:rPr>
                <w:rFonts w:hint="eastAsia" w:ascii="宋体" w:hAnsi="宋体" w:eastAsia="宋体"/>
                <w:kern w:val="0"/>
              </w:rPr>
              <w:t>3 走廊应设置呼叫显示灯或显示屏；</w:t>
            </w:r>
          </w:p>
          <w:p w14:paraId="7516F97A">
            <w:pPr>
              <w:ind w:firstLine="480" w:firstLineChars="200"/>
            </w:pPr>
            <w:r>
              <w:rPr>
                <w:rFonts w:hint="eastAsia" w:ascii="宋体" w:hAnsi="宋体" w:eastAsia="宋体"/>
                <w:kern w:val="0"/>
              </w:rPr>
              <w:t>4 可设置无线呼叫终端</w:t>
            </w:r>
            <w:r>
              <w:rPr>
                <w:rFonts w:hint="eastAsia" w:ascii="宋体" w:hAnsi="宋体" w:eastAsia="宋体"/>
                <w:szCs w:val="22"/>
                <w:bdr w:val="single" w:color="auto" w:sz="4" w:space="0"/>
              </w:rPr>
              <w:t>。</w:t>
            </w:r>
          </w:p>
        </w:tc>
        <w:tc>
          <w:tcPr>
            <w:tcW w:w="4261" w:type="dxa"/>
          </w:tcPr>
          <w:p w14:paraId="0D6DC445">
            <w:pPr>
              <w:rPr>
                <w:rFonts w:ascii="宋体" w:hAnsi="宋体" w:eastAsia="宋体"/>
                <w:szCs w:val="22"/>
              </w:rPr>
            </w:pPr>
            <w:r>
              <w:rPr>
                <w:rFonts w:hint="eastAsia" w:ascii="宋体" w:hAnsi="宋体" w:eastAsia="宋体"/>
                <w:szCs w:val="22"/>
              </w:rPr>
              <w:t>9.3.6 护理单元宜设置</w:t>
            </w:r>
            <w:r>
              <w:rPr>
                <w:rFonts w:hint="eastAsia" w:ascii="宋体" w:hAnsi="宋体" w:eastAsia="宋体"/>
                <w:szCs w:val="22"/>
                <w:u w:val="single"/>
              </w:rPr>
              <w:t>护理呼应信号</w:t>
            </w:r>
            <w:r>
              <w:rPr>
                <w:rFonts w:hint="eastAsia" w:ascii="宋体" w:hAnsi="宋体" w:eastAsia="宋体"/>
                <w:szCs w:val="22"/>
              </w:rPr>
              <w:t>系统，并应符合下列要求：</w:t>
            </w:r>
          </w:p>
          <w:p w14:paraId="470F43C9">
            <w:pPr>
              <w:ind w:firstLine="480" w:firstLineChars="200"/>
              <w:rPr>
                <w:rFonts w:ascii="宋体" w:hAnsi="宋体" w:eastAsia="宋体"/>
                <w:kern w:val="0"/>
              </w:rPr>
            </w:pPr>
            <w:r>
              <w:rPr>
                <w:rFonts w:hint="eastAsia" w:ascii="宋体" w:hAnsi="宋体" w:eastAsia="宋体"/>
                <w:kern w:val="0"/>
              </w:rPr>
              <w:t>1 病床前、卫生间应设置患者呼叫终端；</w:t>
            </w:r>
          </w:p>
          <w:p w14:paraId="2FA8631E">
            <w:pPr>
              <w:ind w:firstLine="480" w:firstLineChars="200"/>
              <w:rPr>
                <w:rFonts w:ascii="宋体" w:hAnsi="宋体" w:eastAsia="宋体"/>
                <w:kern w:val="0"/>
              </w:rPr>
            </w:pPr>
            <w:r>
              <w:rPr>
                <w:rFonts w:hint="eastAsia" w:ascii="宋体" w:hAnsi="宋体" w:eastAsia="宋体"/>
                <w:kern w:val="0"/>
              </w:rPr>
              <w:t>2 护士站应设置对讲总机；</w:t>
            </w:r>
          </w:p>
          <w:p w14:paraId="69EF3B5B">
            <w:pPr>
              <w:ind w:firstLine="480" w:firstLineChars="200"/>
              <w:rPr>
                <w:rFonts w:ascii="宋体" w:hAnsi="宋体" w:eastAsia="宋体"/>
                <w:kern w:val="0"/>
              </w:rPr>
            </w:pPr>
            <w:r>
              <w:rPr>
                <w:rFonts w:hint="eastAsia" w:ascii="宋体" w:hAnsi="宋体" w:eastAsia="宋体"/>
                <w:kern w:val="0"/>
              </w:rPr>
              <w:t>3 走廊应设置呼叫显示灯或显示屏；</w:t>
            </w:r>
          </w:p>
          <w:p w14:paraId="19C4FA83">
            <w:pPr>
              <w:ind w:firstLine="480" w:firstLineChars="200"/>
              <w:rPr>
                <w:rFonts w:ascii="宋体" w:hAnsi="宋体" w:eastAsia="宋体"/>
                <w:szCs w:val="22"/>
                <w:u w:val="single"/>
              </w:rPr>
            </w:pPr>
            <w:r>
              <w:rPr>
                <w:rFonts w:hint="eastAsia" w:ascii="宋体" w:hAnsi="宋体" w:eastAsia="宋体"/>
                <w:kern w:val="0"/>
              </w:rPr>
              <w:t>4 可设置无线呼叫终端</w:t>
            </w:r>
            <w:r>
              <w:rPr>
                <w:rFonts w:hint="eastAsia" w:ascii="宋体" w:hAnsi="宋体" w:eastAsia="宋体"/>
                <w:szCs w:val="22"/>
                <w:u w:val="single"/>
              </w:rPr>
              <w:t>；</w:t>
            </w:r>
          </w:p>
          <w:p w14:paraId="34CB2F02">
            <w:pPr>
              <w:ind w:firstLine="480" w:firstLineChars="200"/>
            </w:pPr>
            <w:r>
              <w:rPr>
                <w:rFonts w:hint="eastAsia" w:ascii="宋体" w:hAnsi="宋体" w:eastAsia="宋体"/>
                <w:kern w:val="0"/>
                <w:u w:val="single"/>
              </w:rPr>
              <w:t>5</w:t>
            </w:r>
            <w:r>
              <w:rPr>
                <w:rFonts w:ascii="宋体" w:hAnsi="宋体" w:eastAsia="宋体"/>
                <w:kern w:val="0"/>
                <w:u w:val="single"/>
              </w:rPr>
              <w:t xml:space="preserve"> </w:t>
            </w:r>
            <w:r>
              <w:rPr>
                <w:rFonts w:hint="eastAsia" w:ascii="宋体" w:hAnsi="宋体" w:eastAsia="宋体"/>
                <w:kern w:val="0"/>
                <w:u w:val="single"/>
              </w:rPr>
              <w:t>系统软件与医院信息化系统接口连接。</w:t>
            </w:r>
          </w:p>
        </w:tc>
      </w:tr>
      <w:tr w14:paraId="38231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9049EA1">
            <w:r>
              <w:rPr>
                <w:rFonts w:hint="eastAsia" w:ascii="宋体" w:hAnsi="宋体" w:eastAsia="宋体"/>
                <w:szCs w:val="22"/>
              </w:rPr>
              <w:t>9.3.7 当设置智能卡系统时，</w:t>
            </w:r>
            <w:r>
              <w:rPr>
                <w:rFonts w:hint="eastAsia" w:ascii="宋体" w:hAnsi="宋体" w:eastAsia="宋体"/>
                <w:szCs w:val="22"/>
                <w:bdr w:val="single" w:color="auto" w:sz="4" w:space="0"/>
              </w:rPr>
              <w:t>应分别</w:t>
            </w:r>
            <w:r>
              <w:rPr>
                <w:rFonts w:hint="eastAsia" w:ascii="宋体" w:hAnsi="宋体" w:eastAsia="宋体"/>
                <w:szCs w:val="22"/>
              </w:rPr>
              <w:t>满足患者挂号、取药、付费和医务人员身份识别、考勤、门禁、停车、消费等要求。</w:t>
            </w:r>
          </w:p>
        </w:tc>
        <w:tc>
          <w:tcPr>
            <w:tcW w:w="4261" w:type="dxa"/>
          </w:tcPr>
          <w:p w14:paraId="71467C7F">
            <w:r>
              <w:rPr>
                <w:rFonts w:hint="eastAsia" w:ascii="宋体" w:hAnsi="宋体" w:eastAsia="宋体"/>
                <w:szCs w:val="22"/>
              </w:rPr>
              <w:t>9.3.7 当设置智能卡系统时，</w:t>
            </w:r>
            <w:r>
              <w:rPr>
                <w:rFonts w:hint="eastAsia" w:ascii="宋体" w:hAnsi="宋体" w:eastAsia="宋体"/>
                <w:szCs w:val="22"/>
                <w:u w:val="single"/>
              </w:rPr>
              <w:t>智能卡应支持多种身份识别方式和移动端应用，并与医院信息平台集成，</w:t>
            </w:r>
            <w:r>
              <w:rPr>
                <w:rFonts w:hint="eastAsia" w:ascii="宋体" w:hAnsi="宋体" w:eastAsia="宋体"/>
                <w:szCs w:val="22"/>
              </w:rPr>
              <w:t>满足患者挂号、取药、付费和医务人员身份识别、考勤、门禁、停车、消费等要求。</w:t>
            </w:r>
          </w:p>
        </w:tc>
      </w:tr>
      <w:tr w14:paraId="18D3E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54BB9DE">
            <w:pPr>
              <w:jc w:val="center"/>
              <w:rPr>
                <w:rFonts w:asciiTheme="minorEastAsia" w:hAnsiTheme="minorEastAsia"/>
              </w:rPr>
            </w:pPr>
            <w:r>
              <w:rPr>
                <w:rFonts w:hint="eastAsia" w:asciiTheme="minorEastAsia" w:hAnsiTheme="minorEastAsia"/>
              </w:rPr>
              <w:t>9.4 公共安全系统</w:t>
            </w:r>
          </w:p>
        </w:tc>
        <w:tc>
          <w:tcPr>
            <w:tcW w:w="4261" w:type="dxa"/>
          </w:tcPr>
          <w:p w14:paraId="35264939">
            <w:pPr>
              <w:jc w:val="center"/>
              <w:rPr>
                <w:rFonts w:asciiTheme="minorEastAsia" w:hAnsiTheme="minorEastAsia"/>
              </w:rPr>
            </w:pPr>
            <w:r>
              <w:rPr>
                <w:rFonts w:hint="eastAsia" w:asciiTheme="minorEastAsia" w:hAnsiTheme="minorEastAsia"/>
              </w:rPr>
              <w:t>9.4 公共安全系统</w:t>
            </w:r>
          </w:p>
        </w:tc>
      </w:tr>
      <w:tr w14:paraId="4A428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423B800"/>
        </w:tc>
        <w:tc>
          <w:tcPr>
            <w:tcW w:w="4261" w:type="dxa"/>
          </w:tcPr>
          <w:p w14:paraId="39569943">
            <w:r>
              <w:rPr>
                <w:rFonts w:hint="eastAsia" w:ascii="宋体" w:hAnsi="宋体" w:eastAsia="宋体"/>
                <w:szCs w:val="22"/>
                <w:u w:val="single"/>
              </w:rPr>
              <w:t>9.4.2A 感染疾病科及平疫结合区应根据医疗工艺对压差监测的要求，设置建筑设备监控系统进行监视、控制和管理，并应在压差监测点附近设置报警灯。</w:t>
            </w:r>
          </w:p>
        </w:tc>
      </w:tr>
      <w:tr w14:paraId="21F50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4633D8B"/>
        </w:tc>
        <w:tc>
          <w:tcPr>
            <w:tcW w:w="4261" w:type="dxa"/>
          </w:tcPr>
          <w:p w14:paraId="1E3CEA4B">
            <w:r>
              <w:rPr>
                <w:rFonts w:hint="eastAsia" w:ascii="宋体" w:hAnsi="宋体" w:eastAsia="宋体"/>
                <w:szCs w:val="22"/>
                <w:u w:val="single"/>
              </w:rPr>
              <w:t>9.4.2B</w:t>
            </w:r>
            <w:r>
              <w:rPr>
                <w:rFonts w:ascii="宋体" w:hAnsi="宋体" w:eastAsia="宋体"/>
                <w:szCs w:val="22"/>
                <w:u w:val="single"/>
              </w:rPr>
              <w:t xml:space="preserve"> </w:t>
            </w:r>
            <w:r>
              <w:rPr>
                <w:rFonts w:hint="eastAsia" w:ascii="宋体" w:hAnsi="宋体" w:eastAsia="宋体"/>
                <w:szCs w:val="22"/>
                <w:u w:val="single"/>
              </w:rPr>
              <w:t>宜采用建筑能效监管系统对医院内的水、电、燃气、集中供热量、集中供冷量、医疗气体供应量等分类进行监测与计量，对医院内的照明、插座、空调、电力、特殊用电分项进行监测与计量，系统应具备能耗分析功能。</w:t>
            </w:r>
          </w:p>
        </w:tc>
      </w:tr>
      <w:tr w14:paraId="5531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154C3BC">
            <w:pPr>
              <w:rPr>
                <w:rFonts w:ascii="宋体" w:hAnsi="宋体" w:eastAsia="宋体"/>
                <w:szCs w:val="22"/>
              </w:rPr>
            </w:pPr>
            <w:r>
              <w:rPr>
                <w:rFonts w:hint="eastAsia" w:ascii="宋体" w:hAnsi="宋体" w:eastAsia="宋体"/>
                <w:szCs w:val="22"/>
              </w:rPr>
              <w:t>9.4.3 公共安全系统应设置安全技术防范系统，并应符合下列要求：</w:t>
            </w:r>
          </w:p>
          <w:p w14:paraId="3BE5E395">
            <w:pPr>
              <w:ind w:firstLine="480" w:firstLineChars="200"/>
              <w:rPr>
                <w:rFonts w:ascii="宋体" w:hAnsi="宋体" w:eastAsia="宋体"/>
                <w:kern w:val="0"/>
              </w:rPr>
            </w:pPr>
            <w:r>
              <w:rPr>
                <w:rFonts w:hint="eastAsia" w:ascii="宋体" w:hAnsi="宋体" w:eastAsia="宋体"/>
                <w:kern w:val="0"/>
              </w:rPr>
              <w:t>1 当设置视频监控系统时，可在医院首层的各对外出入口、收费及挂号处、财务及出院结算处、贵重药品库、电梯轿厢、各楼层的电梯厅及人员活动较多的场所设置摄像机。图像的存储和查询应采用数字硬盘装置。</w:t>
            </w:r>
          </w:p>
          <w:p w14:paraId="7D588E43">
            <w:pPr>
              <w:ind w:firstLine="480" w:firstLineChars="200"/>
              <w:rPr>
                <w:rFonts w:ascii="宋体" w:hAnsi="宋体" w:eastAsia="宋体"/>
                <w:kern w:val="0"/>
              </w:rPr>
            </w:pPr>
            <w:r>
              <w:rPr>
                <w:rFonts w:hint="eastAsia" w:ascii="宋体" w:hAnsi="宋体" w:eastAsia="宋体"/>
                <w:kern w:val="0"/>
              </w:rPr>
              <w:t>2 当设置入侵报警系统时，应在贵重药品库、收费终端等重要场所设置手动报警按钮或其他防侵入探测装置，并应与视频监视摄像机联动。</w:t>
            </w:r>
          </w:p>
          <w:p w14:paraId="495696F3">
            <w:pPr>
              <w:ind w:firstLine="480" w:firstLineChars="200"/>
              <w:rPr>
                <w:rFonts w:ascii="宋体" w:hAnsi="宋体" w:eastAsia="宋体"/>
                <w:kern w:val="0"/>
              </w:rPr>
            </w:pPr>
            <w:r>
              <w:rPr>
                <w:rFonts w:hint="eastAsia" w:ascii="宋体" w:hAnsi="宋体" w:eastAsia="宋体"/>
                <w:kern w:val="0"/>
              </w:rPr>
              <w:t>3 当设置出入口</w:t>
            </w:r>
            <w:r>
              <w:rPr>
                <w:rFonts w:hint="eastAsia" w:ascii="宋体" w:hAnsi="宋体" w:eastAsia="宋体"/>
                <w:kern w:val="0"/>
                <w:bdr w:val="single" w:color="auto" w:sz="4" w:space="0"/>
              </w:rPr>
              <w:t>管理</w:t>
            </w:r>
            <w:r>
              <w:rPr>
                <w:rFonts w:hint="eastAsia" w:ascii="宋体" w:hAnsi="宋体" w:eastAsia="宋体"/>
                <w:kern w:val="0"/>
              </w:rPr>
              <w:t>系统时，可在信息中心、贵重药品库等重要场所，以及手术部、病房护理单元的主要出入口设置</w:t>
            </w:r>
            <w:r>
              <w:rPr>
                <w:rFonts w:hint="eastAsia" w:ascii="宋体" w:hAnsi="宋体" w:eastAsia="宋体"/>
                <w:kern w:val="0"/>
                <w:bdr w:val="single" w:color="auto" w:sz="4" w:space="0"/>
              </w:rPr>
              <w:t>门禁</w:t>
            </w:r>
            <w:r>
              <w:rPr>
                <w:rFonts w:hint="eastAsia" w:ascii="宋体" w:hAnsi="宋体" w:eastAsia="宋体"/>
                <w:kern w:val="0"/>
              </w:rPr>
              <w:t>控制装置。对于有医患分流要求的通道门应设置</w:t>
            </w:r>
            <w:r>
              <w:rPr>
                <w:rFonts w:hint="eastAsia" w:ascii="宋体" w:hAnsi="宋体" w:eastAsia="宋体"/>
                <w:kern w:val="0"/>
                <w:bdr w:val="single" w:color="auto" w:sz="4" w:space="0"/>
              </w:rPr>
              <w:t>门禁</w:t>
            </w:r>
            <w:r>
              <w:rPr>
                <w:rFonts w:hint="eastAsia" w:ascii="宋体" w:hAnsi="宋体" w:eastAsia="宋体"/>
                <w:kern w:val="0"/>
              </w:rPr>
              <w:t>控制装置。当火灾报警时应通过消防系统联动控制相应区域的出入门处于开启状态。</w:t>
            </w:r>
          </w:p>
          <w:p w14:paraId="19E9D6CD">
            <w:pPr>
              <w:ind w:firstLine="480" w:firstLineChars="200"/>
            </w:pPr>
            <w:r>
              <w:rPr>
                <w:rFonts w:hint="eastAsia" w:ascii="宋体" w:hAnsi="宋体" w:eastAsia="宋体"/>
                <w:kern w:val="0"/>
              </w:rPr>
              <w:t>4 当设置电子巡查管理系统时，宜采用离线式巡查系统。当医院设置的</w:t>
            </w:r>
            <w:r>
              <w:rPr>
                <w:rFonts w:hint="eastAsia" w:ascii="宋体" w:hAnsi="宋体" w:eastAsia="宋体"/>
                <w:kern w:val="0"/>
                <w:bdr w:val="single" w:color="auto" w:sz="4" w:space="0"/>
              </w:rPr>
              <w:t>门禁</w:t>
            </w:r>
            <w:r>
              <w:rPr>
                <w:rFonts w:hint="eastAsia" w:ascii="宋体" w:hAnsi="宋体" w:eastAsia="宋体"/>
                <w:kern w:val="0"/>
              </w:rPr>
              <w:t>系统控制装置可覆盖大部分巡查点时，宜通过</w:t>
            </w:r>
            <w:r>
              <w:rPr>
                <w:rFonts w:hint="eastAsia" w:ascii="宋体" w:hAnsi="宋体" w:eastAsia="宋体"/>
                <w:kern w:val="0"/>
                <w:bdr w:val="single" w:color="auto" w:sz="4" w:space="0"/>
              </w:rPr>
              <w:t>门禁</w:t>
            </w:r>
            <w:r>
              <w:rPr>
                <w:rFonts w:hint="eastAsia" w:ascii="宋体" w:hAnsi="宋体" w:eastAsia="宋体"/>
                <w:kern w:val="0"/>
              </w:rPr>
              <w:t>系统进行巡查管理。巡查点宜设置在首层主要出入口、各层电梯厅、贵重药品库房、信息中心等重要场所。</w:t>
            </w:r>
          </w:p>
        </w:tc>
        <w:tc>
          <w:tcPr>
            <w:tcW w:w="4261" w:type="dxa"/>
          </w:tcPr>
          <w:p w14:paraId="3AE226E1">
            <w:pPr>
              <w:rPr>
                <w:rFonts w:ascii="宋体" w:hAnsi="宋体" w:eastAsia="宋体"/>
                <w:szCs w:val="22"/>
              </w:rPr>
            </w:pPr>
            <w:r>
              <w:rPr>
                <w:rFonts w:hint="eastAsia" w:ascii="宋体" w:hAnsi="宋体" w:eastAsia="宋体"/>
                <w:szCs w:val="22"/>
              </w:rPr>
              <w:t>9.4.3 公共安全系统应设置安全技术防范系统，并应符合下列要求：</w:t>
            </w:r>
          </w:p>
          <w:p w14:paraId="10FA4641">
            <w:pPr>
              <w:ind w:firstLine="480" w:firstLineChars="200"/>
              <w:rPr>
                <w:rFonts w:ascii="宋体" w:hAnsi="宋体" w:eastAsia="宋体"/>
                <w:kern w:val="0"/>
              </w:rPr>
            </w:pPr>
            <w:r>
              <w:rPr>
                <w:rFonts w:hint="eastAsia" w:ascii="宋体" w:hAnsi="宋体" w:eastAsia="宋体"/>
                <w:kern w:val="0"/>
              </w:rPr>
              <w:t>1 当设置视频监控系统时，可在医院首层的各对外出入口、收费及挂号处、财务及出院结算处、贵重药品库、电梯轿厢、各楼层的电梯厅及人员活动较多的场所设置摄像机。图像的存储和查询应采用数字硬盘装置。</w:t>
            </w:r>
          </w:p>
          <w:p w14:paraId="6C65EE26">
            <w:pPr>
              <w:ind w:firstLine="480" w:firstLineChars="200"/>
              <w:rPr>
                <w:rFonts w:ascii="宋体" w:hAnsi="宋体" w:eastAsia="宋体"/>
                <w:kern w:val="0"/>
              </w:rPr>
            </w:pPr>
            <w:r>
              <w:rPr>
                <w:rFonts w:hint="eastAsia" w:ascii="宋体" w:hAnsi="宋体" w:eastAsia="宋体"/>
                <w:kern w:val="0"/>
              </w:rPr>
              <w:t>2 当设置入侵报警系统时，应在贵重药品库、收费终端等重要场所设置手动报警按钮或其他防侵入探测装置，并应与视频监视摄像机联动。</w:t>
            </w:r>
          </w:p>
          <w:p w14:paraId="1D6E0D09">
            <w:pPr>
              <w:ind w:firstLine="480" w:firstLineChars="200"/>
              <w:rPr>
                <w:rFonts w:ascii="宋体" w:hAnsi="宋体" w:eastAsia="宋体"/>
                <w:kern w:val="0"/>
              </w:rPr>
            </w:pPr>
            <w:r>
              <w:rPr>
                <w:rFonts w:hint="eastAsia" w:ascii="宋体" w:hAnsi="宋体" w:eastAsia="宋体"/>
                <w:kern w:val="0"/>
              </w:rPr>
              <w:t>3 当设置出入口</w:t>
            </w:r>
            <w:r>
              <w:rPr>
                <w:rFonts w:hint="eastAsia" w:ascii="宋体" w:hAnsi="宋体" w:eastAsia="宋体"/>
                <w:kern w:val="0"/>
                <w:u w:val="single"/>
              </w:rPr>
              <w:t>控制</w:t>
            </w:r>
            <w:r>
              <w:rPr>
                <w:rFonts w:hint="eastAsia" w:ascii="宋体" w:hAnsi="宋体" w:eastAsia="宋体"/>
                <w:kern w:val="0"/>
              </w:rPr>
              <w:t>系统时，可在信息中心、贵重药品库等重要场所，以及手术部、病房护理单元的主要出入口设置</w:t>
            </w:r>
            <w:r>
              <w:rPr>
                <w:rFonts w:hint="eastAsia" w:ascii="宋体" w:hAnsi="宋体" w:eastAsia="宋体"/>
                <w:kern w:val="0"/>
                <w:u w:val="single"/>
              </w:rPr>
              <w:t>出入口</w:t>
            </w:r>
            <w:r>
              <w:rPr>
                <w:rFonts w:hint="eastAsia" w:ascii="宋体" w:hAnsi="宋体" w:eastAsia="宋体"/>
                <w:kern w:val="0"/>
              </w:rPr>
              <w:t>控制装置。对于有医患分流要求的通道门应设置</w:t>
            </w:r>
            <w:r>
              <w:rPr>
                <w:rFonts w:hint="eastAsia" w:ascii="宋体" w:hAnsi="宋体" w:eastAsia="宋体"/>
                <w:kern w:val="0"/>
                <w:u w:val="single"/>
              </w:rPr>
              <w:t>出入口</w:t>
            </w:r>
            <w:r>
              <w:rPr>
                <w:rFonts w:hint="eastAsia" w:ascii="宋体" w:hAnsi="宋体" w:eastAsia="宋体"/>
                <w:kern w:val="0"/>
              </w:rPr>
              <w:t>控制装置。当火灾报警时应通过消防系统联动控制相应区域的出入门处于开启状态。</w:t>
            </w:r>
          </w:p>
          <w:p w14:paraId="21F6D508">
            <w:pPr>
              <w:ind w:firstLine="480" w:firstLineChars="200"/>
              <w:rPr>
                <w:rFonts w:ascii="宋体" w:hAnsi="宋体" w:eastAsia="宋体"/>
                <w:kern w:val="0"/>
              </w:rPr>
            </w:pPr>
            <w:r>
              <w:rPr>
                <w:rFonts w:hint="eastAsia" w:ascii="宋体" w:hAnsi="宋体" w:eastAsia="宋体"/>
                <w:kern w:val="0"/>
              </w:rPr>
              <w:t>4 当设置电子巡查管理系统时，宜采用离线式巡查系统。当医院设置的</w:t>
            </w:r>
            <w:r>
              <w:rPr>
                <w:rFonts w:hint="eastAsia" w:ascii="宋体" w:hAnsi="宋体" w:eastAsia="宋体"/>
                <w:kern w:val="0"/>
                <w:u w:val="single"/>
              </w:rPr>
              <w:t>出入口控制</w:t>
            </w:r>
            <w:r>
              <w:rPr>
                <w:rFonts w:hint="eastAsia" w:ascii="宋体" w:hAnsi="宋体" w:eastAsia="宋体"/>
                <w:kern w:val="0"/>
              </w:rPr>
              <w:t>系统控制装置可覆盖大部分巡查点时，宜通过</w:t>
            </w:r>
            <w:r>
              <w:rPr>
                <w:rFonts w:hint="eastAsia" w:ascii="宋体" w:hAnsi="宋体" w:eastAsia="宋体"/>
                <w:kern w:val="0"/>
                <w:u w:val="single"/>
              </w:rPr>
              <w:t>出入口控制</w:t>
            </w:r>
            <w:r>
              <w:rPr>
                <w:rFonts w:hint="eastAsia" w:ascii="宋体" w:hAnsi="宋体" w:eastAsia="宋体"/>
                <w:kern w:val="0"/>
              </w:rPr>
              <w:t>系统进行巡查管理。巡查点宜设置在首层主要出入口、各层电梯厅、贵重药品库房、信息中心等重要场所。</w:t>
            </w:r>
          </w:p>
          <w:p w14:paraId="155767AE">
            <w:pPr>
              <w:ind w:firstLine="480" w:firstLineChars="200"/>
            </w:pPr>
            <w:r>
              <w:rPr>
                <w:rFonts w:hint="eastAsia" w:ascii="宋体" w:hAnsi="宋体" w:eastAsia="宋体"/>
                <w:kern w:val="0"/>
                <w:u w:val="single"/>
              </w:rPr>
              <w:t>5 感染疾病区及平疫结合区应根据医疗流程要求，设置出入口控制系统实现清洁区、半污染区、污染区间人流、物流的控制，控制装置采用非接触式。</w:t>
            </w:r>
          </w:p>
        </w:tc>
      </w:tr>
      <w:tr w14:paraId="20589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BB939B2">
            <w:pPr>
              <w:jc w:val="center"/>
              <w:rPr>
                <w:rFonts w:asciiTheme="minorEastAsia" w:hAnsiTheme="minorEastAsia"/>
              </w:rPr>
            </w:pPr>
            <w:r>
              <w:rPr>
                <w:rFonts w:hint="eastAsia" w:asciiTheme="minorEastAsia" w:hAnsiTheme="minorEastAsia"/>
              </w:rPr>
              <w:t>9.6 机房工程</w:t>
            </w:r>
          </w:p>
        </w:tc>
        <w:tc>
          <w:tcPr>
            <w:tcW w:w="4261" w:type="dxa"/>
          </w:tcPr>
          <w:p w14:paraId="6BE737E7">
            <w:pPr>
              <w:jc w:val="center"/>
              <w:rPr>
                <w:rFonts w:asciiTheme="minorEastAsia" w:hAnsiTheme="minorEastAsia"/>
              </w:rPr>
            </w:pPr>
            <w:r>
              <w:rPr>
                <w:rFonts w:hint="eastAsia" w:asciiTheme="minorEastAsia" w:hAnsiTheme="minorEastAsia"/>
              </w:rPr>
              <w:t>9.6 机房工程</w:t>
            </w:r>
          </w:p>
        </w:tc>
      </w:tr>
      <w:tr w14:paraId="28113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25BA790"/>
        </w:tc>
        <w:tc>
          <w:tcPr>
            <w:tcW w:w="4261" w:type="dxa"/>
          </w:tcPr>
          <w:p w14:paraId="1137E322">
            <w:pPr>
              <w:rPr>
                <w:rFonts w:ascii="宋体" w:hAnsi="宋体" w:eastAsia="宋体"/>
                <w:u w:val="single"/>
              </w:rPr>
            </w:pPr>
            <w:r>
              <w:rPr>
                <w:rFonts w:hint="eastAsia" w:ascii="宋体" w:hAnsi="宋体" w:eastAsia="宋体"/>
                <w:u w:val="single"/>
              </w:rPr>
              <w:t>9.6.4 信息网络机房设计应满足《数据中心设计规范》GB50174的有关规定。</w:t>
            </w:r>
          </w:p>
        </w:tc>
      </w:tr>
      <w:tr w14:paraId="3511F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83AF355"/>
        </w:tc>
        <w:tc>
          <w:tcPr>
            <w:tcW w:w="4261" w:type="dxa"/>
          </w:tcPr>
          <w:p w14:paraId="4895C777">
            <w:pPr>
              <w:rPr>
                <w:rFonts w:ascii="宋体" w:hAnsi="宋体" w:eastAsia="宋体"/>
                <w:u w:val="single"/>
              </w:rPr>
            </w:pPr>
            <w:r>
              <w:rPr>
                <w:rFonts w:hint="eastAsia" w:ascii="宋体" w:hAnsi="宋体" w:eastAsia="宋体"/>
                <w:u w:val="single"/>
              </w:rPr>
              <w:t>9.6.5 二级医院的信息网络机房建设标准不应低于C级，三级医院的信息网络机房建设标准不应低于B级。</w:t>
            </w:r>
          </w:p>
        </w:tc>
      </w:tr>
      <w:tr w14:paraId="51497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CC7A0D2"/>
        </w:tc>
        <w:tc>
          <w:tcPr>
            <w:tcW w:w="4261" w:type="dxa"/>
          </w:tcPr>
          <w:p w14:paraId="617143F8">
            <w:r>
              <w:rPr>
                <w:rFonts w:hint="eastAsia" w:ascii="宋体" w:hAnsi="宋体" w:eastAsia="宋体"/>
                <w:u w:val="single"/>
              </w:rPr>
              <w:t>9.6.6</w:t>
            </w:r>
            <w:r>
              <w:rPr>
                <w:rFonts w:ascii="宋体" w:hAnsi="宋体" w:eastAsia="宋体"/>
                <w:u w:val="single"/>
              </w:rPr>
              <w:t xml:space="preserve"> </w:t>
            </w:r>
            <w:r>
              <w:rPr>
                <w:rFonts w:hint="eastAsia" w:ascii="宋体" w:hAnsi="宋体" w:eastAsia="宋体"/>
                <w:u w:val="single"/>
              </w:rPr>
              <w:t>二、三级医院宜设置灾备机房，灾备机房建设标准不应低于主机房。</w:t>
            </w:r>
          </w:p>
        </w:tc>
      </w:tr>
      <w:tr w14:paraId="208FD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C204158">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10.医用气体系统</w:t>
            </w:r>
          </w:p>
        </w:tc>
        <w:tc>
          <w:tcPr>
            <w:tcW w:w="4261" w:type="dxa"/>
          </w:tcPr>
          <w:p w14:paraId="4C778756">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10.医用气体系统</w:t>
            </w:r>
          </w:p>
        </w:tc>
      </w:tr>
      <w:tr w14:paraId="7B9F6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9D89E53">
            <w:pPr>
              <w:jc w:val="center"/>
              <w:rPr>
                <w:rFonts w:asciiTheme="minorEastAsia" w:hAnsiTheme="minorEastAsia"/>
              </w:rPr>
            </w:pPr>
            <w:r>
              <w:rPr>
                <w:rFonts w:hint="eastAsia" w:asciiTheme="minorEastAsia" w:hAnsiTheme="minorEastAsia"/>
              </w:rPr>
              <w:t>10.1 一般规定</w:t>
            </w:r>
          </w:p>
        </w:tc>
        <w:tc>
          <w:tcPr>
            <w:tcW w:w="4261" w:type="dxa"/>
          </w:tcPr>
          <w:p w14:paraId="163EA07C">
            <w:pPr>
              <w:jc w:val="center"/>
              <w:rPr>
                <w:rFonts w:asciiTheme="minorEastAsia" w:hAnsiTheme="minorEastAsia"/>
              </w:rPr>
            </w:pPr>
            <w:r>
              <w:rPr>
                <w:rFonts w:hint="eastAsia" w:asciiTheme="minorEastAsia" w:hAnsiTheme="minorEastAsia"/>
              </w:rPr>
              <w:t>10.1 一般规定</w:t>
            </w:r>
          </w:p>
        </w:tc>
      </w:tr>
      <w:tr w14:paraId="7508C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E8DA1F0"/>
        </w:tc>
        <w:tc>
          <w:tcPr>
            <w:tcW w:w="4261" w:type="dxa"/>
          </w:tcPr>
          <w:p w14:paraId="0A8A41BE">
            <w:r>
              <w:rPr>
                <w:rFonts w:hint="eastAsia" w:ascii="宋体" w:hAnsi="宋体" w:eastAsia="宋体"/>
                <w:u w:val="single"/>
              </w:rPr>
              <w:t>10.1.4 “平疫结合”</w:t>
            </w:r>
            <w:r>
              <w:rPr>
                <w:rFonts w:ascii="宋体" w:hAnsi="宋体" w:eastAsia="宋体"/>
                <w:u w:val="single"/>
              </w:rPr>
              <w:t>的</w:t>
            </w:r>
            <w:r>
              <w:rPr>
                <w:rFonts w:hint="eastAsia" w:ascii="宋体" w:hAnsi="宋体" w:eastAsia="宋体"/>
                <w:u w:val="single"/>
              </w:rPr>
              <w:t>综合医院，</w:t>
            </w:r>
            <w:r>
              <w:rPr>
                <w:rFonts w:ascii="宋体" w:hAnsi="宋体" w:eastAsia="宋体"/>
                <w:u w:val="single"/>
              </w:rPr>
              <w:t>医</w:t>
            </w:r>
            <w:r>
              <w:rPr>
                <w:rFonts w:hint="eastAsia" w:ascii="宋体" w:hAnsi="宋体" w:eastAsia="宋体"/>
                <w:u w:val="single"/>
              </w:rPr>
              <w:t>用气体系统应能满足医院“平疫结合”的需求。</w:t>
            </w:r>
          </w:p>
        </w:tc>
      </w:tr>
      <w:tr w14:paraId="0DFBB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D24254C"/>
        </w:tc>
        <w:tc>
          <w:tcPr>
            <w:tcW w:w="4261" w:type="dxa"/>
          </w:tcPr>
          <w:p w14:paraId="1EB7D88F">
            <w:r>
              <w:rPr>
                <w:rFonts w:hint="eastAsia" w:ascii="宋体" w:hAnsi="宋体" w:eastAsia="宋体"/>
                <w:u w:val="single"/>
              </w:rPr>
              <w:t>10.1.5</w:t>
            </w:r>
            <w:r>
              <w:rPr>
                <w:rFonts w:ascii="宋体" w:hAnsi="宋体" w:eastAsia="宋体"/>
                <w:u w:val="single"/>
              </w:rPr>
              <w:t xml:space="preserve"> </w:t>
            </w:r>
            <w:r>
              <w:rPr>
                <w:rFonts w:hint="eastAsia" w:ascii="宋体" w:hAnsi="宋体" w:eastAsia="宋体"/>
                <w:u w:val="single"/>
              </w:rPr>
              <w:t>医用气体系统应符合《医用气体工程技术规范》GB50751及其他国家标准及规范的要求。</w:t>
            </w:r>
          </w:p>
        </w:tc>
      </w:tr>
      <w:tr w14:paraId="7BBF1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D3BC298">
            <w:pPr>
              <w:jc w:val="center"/>
              <w:rPr>
                <w:rFonts w:asciiTheme="minorEastAsia" w:hAnsiTheme="minorEastAsia"/>
              </w:rPr>
            </w:pPr>
            <w:r>
              <w:rPr>
                <w:rFonts w:hint="eastAsia" w:asciiTheme="minorEastAsia" w:hAnsiTheme="minorEastAsia"/>
              </w:rPr>
              <w:t>10.2 气源设备</w:t>
            </w:r>
          </w:p>
        </w:tc>
        <w:tc>
          <w:tcPr>
            <w:tcW w:w="4261" w:type="dxa"/>
          </w:tcPr>
          <w:p w14:paraId="48A4F7B1">
            <w:pPr>
              <w:jc w:val="center"/>
              <w:rPr>
                <w:rFonts w:asciiTheme="minorEastAsia" w:hAnsiTheme="minorEastAsia"/>
              </w:rPr>
            </w:pPr>
            <w:r>
              <w:rPr>
                <w:rFonts w:hint="eastAsia" w:asciiTheme="minorEastAsia" w:hAnsiTheme="minorEastAsia"/>
              </w:rPr>
              <w:t>10.2 气源</w:t>
            </w:r>
            <w:r>
              <w:rPr>
                <w:rFonts w:hint="eastAsia" w:asciiTheme="minorEastAsia" w:hAnsiTheme="minorEastAsia"/>
                <w:u w:val="single"/>
              </w:rPr>
              <w:t>站房及</w:t>
            </w:r>
            <w:r>
              <w:rPr>
                <w:rFonts w:hint="eastAsia" w:asciiTheme="minorEastAsia" w:hAnsiTheme="minorEastAsia"/>
              </w:rPr>
              <w:t>设备</w:t>
            </w:r>
          </w:p>
        </w:tc>
      </w:tr>
      <w:tr w14:paraId="75D83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DCEA241">
            <w:pPr>
              <w:jc w:val="center"/>
            </w:pPr>
          </w:p>
        </w:tc>
        <w:tc>
          <w:tcPr>
            <w:tcW w:w="4261" w:type="dxa"/>
          </w:tcPr>
          <w:p w14:paraId="2B339B44">
            <w:pPr>
              <w:jc w:val="center"/>
              <w:rPr>
                <w:u w:val="single"/>
              </w:rPr>
            </w:pPr>
            <w:r>
              <w:rPr>
                <w:rFonts w:hint="eastAsia"/>
                <w:u w:val="single"/>
              </w:rPr>
              <w:t>气源站房及设备一般规定</w:t>
            </w:r>
          </w:p>
        </w:tc>
      </w:tr>
      <w:tr w14:paraId="565B5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0304F3D1"/>
        </w:tc>
        <w:tc>
          <w:tcPr>
            <w:tcW w:w="4261" w:type="dxa"/>
          </w:tcPr>
          <w:p w14:paraId="700A4DE6">
            <w:r>
              <w:rPr>
                <w:rFonts w:hint="eastAsia" w:ascii="宋体" w:hAnsi="宋体" w:eastAsia="宋体"/>
                <w:u w:val="single"/>
              </w:rPr>
              <w:t>10.2.</w:t>
            </w:r>
            <w:r>
              <w:rPr>
                <w:rFonts w:ascii="宋体" w:hAnsi="宋体" w:eastAsia="宋体"/>
                <w:u w:val="single"/>
              </w:rPr>
              <w:t>7A</w:t>
            </w:r>
            <w:r>
              <w:rPr>
                <w:rFonts w:hint="eastAsia" w:ascii="宋体" w:hAnsi="宋体" w:eastAsia="宋体"/>
                <w:u w:val="single"/>
              </w:rPr>
              <w:t xml:space="preserve"> 负压吸引机房应单独设置不得与其他气源站房共用房间，其排放气体应经过处理后排入大气。</w:t>
            </w:r>
          </w:p>
        </w:tc>
      </w:tr>
      <w:tr w14:paraId="57225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9ABF1A4">
            <w:pPr>
              <w:jc w:val="center"/>
            </w:pPr>
          </w:p>
        </w:tc>
        <w:tc>
          <w:tcPr>
            <w:tcW w:w="4261" w:type="dxa"/>
          </w:tcPr>
          <w:p w14:paraId="2461CDD6">
            <w:pPr>
              <w:jc w:val="center"/>
              <w:rPr>
                <w:u w:val="single"/>
              </w:rPr>
            </w:pPr>
            <w:r>
              <w:rPr>
                <w:rFonts w:hint="eastAsia"/>
                <w:u w:val="single"/>
              </w:rPr>
              <w:t>医用氧气气源站房及设备一般规定</w:t>
            </w:r>
          </w:p>
        </w:tc>
      </w:tr>
      <w:tr w14:paraId="631E3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BD00CF1">
            <w:pPr>
              <w:jc w:val="center"/>
            </w:pPr>
          </w:p>
        </w:tc>
        <w:tc>
          <w:tcPr>
            <w:tcW w:w="4261" w:type="dxa"/>
          </w:tcPr>
          <w:p w14:paraId="578D4F0B">
            <w:pPr>
              <w:rPr>
                <w:u w:val="single"/>
              </w:rPr>
            </w:pPr>
            <w:r>
              <w:rPr>
                <w:rFonts w:hint="eastAsia" w:ascii="宋体" w:hAnsi="宋体" w:eastAsia="宋体"/>
                <w:u w:val="single"/>
              </w:rPr>
              <w:t>10.2.7B</w:t>
            </w:r>
            <w:r>
              <w:rPr>
                <w:rFonts w:ascii="宋体" w:hAnsi="宋体" w:eastAsia="宋体"/>
                <w:u w:val="single"/>
              </w:rPr>
              <w:t xml:space="preserve"> </w:t>
            </w:r>
            <w:r>
              <w:rPr>
                <w:rFonts w:hint="eastAsia" w:ascii="宋体" w:hAnsi="宋体" w:eastAsia="宋体"/>
                <w:u w:val="single"/>
              </w:rPr>
              <w:t>中心供氧用房应远离热源、火源和易燃易爆源。</w:t>
            </w:r>
          </w:p>
        </w:tc>
      </w:tr>
      <w:tr w14:paraId="09804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A03DCBC">
            <w:pPr>
              <w:rPr>
                <w:rFonts w:ascii="宋体" w:hAnsi="宋体" w:eastAsia="宋体"/>
              </w:rPr>
            </w:pPr>
            <w:r>
              <w:rPr>
                <w:rFonts w:hint="eastAsia" w:ascii="宋体" w:hAnsi="宋体" w:eastAsia="宋体"/>
              </w:rPr>
              <w:t>10.2.8 设置分子筛制氧机组制氧站，应符合下列要求：</w:t>
            </w:r>
          </w:p>
          <w:p w14:paraId="2137D0CC">
            <w:pPr>
              <w:ind w:firstLine="480" w:firstLineChars="200"/>
              <w:rPr>
                <w:rFonts w:ascii="宋体" w:hAnsi="宋体" w:eastAsia="宋体"/>
              </w:rPr>
            </w:pPr>
            <w:r>
              <w:rPr>
                <w:rFonts w:hint="eastAsia" w:ascii="宋体" w:hAnsi="宋体" w:eastAsia="宋体"/>
              </w:rPr>
              <w:t>1 制氧站</w:t>
            </w:r>
            <w:r>
              <w:rPr>
                <w:rFonts w:hint="eastAsia" w:ascii="宋体" w:hAnsi="宋体" w:eastAsia="宋体"/>
                <w:bdr w:val="single" w:color="auto" w:sz="4" w:space="0"/>
              </w:rPr>
              <w:t>宜</w:t>
            </w:r>
            <w:r>
              <w:rPr>
                <w:rFonts w:hint="eastAsia" w:ascii="宋体" w:hAnsi="宋体" w:eastAsia="宋体"/>
              </w:rPr>
              <w:t>独立设置</w:t>
            </w:r>
            <w:r>
              <w:rPr>
                <w:rFonts w:hint="eastAsia" w:ascii="宋体" w:hAnsi="宋体" w:eastAsia="宋体"/>
                <w:szCs w:val="22"/>
                <w:bdr w:val="single" w:color="auto" w:sz="4" w:space="0"/>
              </w:rPr>
              <w:t>或设置在建筑物屋顶</w:t>
            </w:r>
            <w:r>
              <w:rPr>
                <w:rFonts w:hint="eastAsia" w:ascii="宋体" w:hAnsi="宋体" w:eastAsia="宋体"/>
              </w:rPr>
              <w:t>；</w:t>
            </w:r>
          </w:p>
          <w:p w14:paraId="7551D3EF">
            <w:pPr>
              <w:ind w:firstLine="482" w:firstLineChars="200"/>
              <w:rPr>
                <w:rFonts w:ascii="黑体" w:hAnsi="黑体" w:eastAsia="黑体"/>
                <w:b/>
              </w:rPr>
            </w:pPr>
            <w:r>
              <w:rPr>
                <w:rFonts w:hint="eastAsia" w:ascii="黑体" w:hAnsi="黑体" w:eastAsia="黑体"/>
                <w:b/>
              </w:rPr>
              <w:t>2 氧气汇流排间与机器间的隔墙耐火极限不应低于1.5h，氧气汇流排间与机器间之间的联络门应采用甲级防火门；</w:t>
            </w:r>
          </w:p>
          <w:p w14:paraId="5F3C7002">
            <w:pPr>
              <w:ind w:firstLine="482" w:firstLineChars="200"/>
            </w:pPr>
            <w:r>
              <w:rPr>
                <w:rFonts w:hint="eastAsia" w:ascii="黑体" w:hAnsi="黑体" w:eastAsia="黑体"/>
                <w:b/>
              </w:rPr>
              <w:t>3 氧气储罐与机器间的隔墙耐火极限不应低于1.5h，氧气储罐与机器间之间的联络门应采用甲级防火门。</w:t>
            </w:r>
          </w:p>
        </w:tc>
        <w:tc>
          <w:tcPr>
            <w:tcW w:w="4261" w:type="dxa"/>
          </w:tcPr>
          <w:p w14:paraId="2CA1E40E">
            <w:pPr>
              <w:rPr>
                <w:rFonts w:ascii="宋体" w:hAnsi="宋体" w:eastAsia="宋体"/>
              </w:rPr>
            </w:pPr>
            <w:r>
              <w:rPr>
                <w:rFonts w:hint="eastAsia" w:ascii="宋体" w:hAnsi="宋体" w:eastAsia="宋体"/>
              </w:rPr>
              <w:t>10.2.8 设置分子筛制氧机组制氧站，应符合下列要求：</w:t>
            </w:r>
          </w:p>
          <w:p w14:paraId="59B6B311">
            <w:pPr>
              <w:ind w:firstLine="480" w:firstLineChars="200"/>
              <w:rPr>
                <w:rFonts w:ascii="宋体" w:hAnsi="宋体" w:eastAsia="宋体"/>
              </w:rPr>
            </w:pPr>
            <w:r>
              <w:rPr>
                <w:rFonts w:hint="eastAsia" w:ascii="宋体" w:hAnsi="宋体" w:eastAsia="宋体"/>
              </w:rPr>
              <w:t>1 制氧站</w:t>
            </w:r>
            <w:r>
              <w:rPr>
                <w:rFonts w:hint="eastAsia" w:ascii="宋体" w:hAnsi="宋体" w:eastAsia="宋体"/>
                <w:u w:val="single"/>
              </w:rPr>
              <w:t>应</w:t>
            </w:r>
            <w:r>
              <w:rPr>
                <w:rFonts w:hint="eastAsia" w:ascii="宋体" w:hAnsi="宋体" w:eastAsia="宋体"/>
              </w:rPr>
              <w:t>独立设置；</w:t>
            </w:r>
          </w:p>
          <w:p w14:paraId="4D121637">
            <w:pPr>
              <w:ind w:firstLine="482" w:firstLineChars="200"/>
              <w:rPr>
                <w:rFonts w:ascii="黑体" w:hAnsi="黑体" w:eastAsia="黑体"/>
                <w:b/>
              </w:rPr>
            </w:pPr>
            <w:r>
              <w:rPr>
                <w:rFonts w:hint="eastAsia" w:ascii="黑体" w:hAnsi="黑体" w:eastAsia="黑体"/>
                <w:b/>
              </w:rPr>
              <w:t>2 氧气汇流排间与机器间的隔墙耐火极限不应低于1.5h，氧气汇流排间与机器间之间的联络门应采用甲级防火门；</w:t>
            </w:r>
          </w:p>
          <w:p w14:paraId="1C2318EF">
            <w:pPr>
              <w:ind w:firstLine="482" w:firstLineChars="200"/>
            </w:pPr>
            <w:r>
              <w:rPr>
                <w:rFonts w:hint="eastAsia" w:ascii="黑体" w:hAnsi="黑体" w:eastAsia="黑体"/>
                <w:b/>
              </w:rPr>
              <w:t>3 氧气储罐与机器间的隔墙耐火极限不应低于1.5h，氧气储罐与机器间之间的联络门应采用甲级防火门。</w:t>
            </w:r>
          </w:p>
        </w:tc>
      </w:tr>
      <w:tr w14:paraId="3CF31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8372068">
            <w:r>
              <w:rPr>
                <w:rFonts w:hint="eastAsia" w:ascii="宋体" w:hAnsi="宋体" w:eastAsia="宋体"/>
              </w:rPr>
              <w:t>10.2.9 采用液氧供氧方式时，大于500L的液氧罐应放在室外。</w:t>
            </w:r>
            <w:r>
              <w:rPr>
                <w:rFonts w:hint="eastAsia" w:ascii="宋体" w:hAnsi="宋体" w:eastAsia="宋体"/>
                <w:szCs w:val="22"/>
                <w:bdr w:val="single" w:color="auto" w:sz="4" w:space="0"/>
              </w:rPr>
              <w:t>室外液氧罐与办公室、病房、公共场所及繁华道路的距离应大于7.5m。</w:t>
            </w:r>
          </w:p>
        </w:tc>
        <w:tc>
          <w:tcPr>
            <w:tcW w:w="4261" w:type="dxa"/>
          </w:tcPr>
          <w:p w14:paraId="15E2E836">
            <w:r>
              <w:rPr>
                <w:rFonts w:hint="eastAsia" w:ascii="宋体" w:hAnsi="宋体" w:eastAsia="宋体"/>
              </w:rPr>
              <w:t>10.2.9 采用液氧供氧方式时，大于500L的液氧罐应放在室外。</w:t>
            </w:r>
            <w:r>
              <w:rPr>
                <w:rFonts w:hint="eastAsia" w:ascii="宋体" w:hAnsi="宋体" w:eastAsia="宋体"/>
                <w:u w:val="single"/>
              </w:rPr>
              <w:t>液氧罐站的规模以及与办公室、病房、公共场所及繁华道路的距离应满足《</w:t>
            </w:r>
            <w:r>
              <w:rPr>
                <w:rFonts w:ascii="宋体" w:hAnsi="宋体" w:eastAsia="宋体"/>
                <w:u w:val="single"/>
              </w:rPr>
              <w:t>建筑</w:t>
            </w:r>
            <w:r>
              <w:rPr>
                <w:rFonts w:hint="eastAsia" w:ascii="宋体" w:hAnsi="宋体" w:eastAsia="宋体"/>
                <w:u w:val="single"/>
              </w:rPr>
              <w:t>设计防火规范》GB50016、</w:t>
            </w:r>
            <w:r>
              <w:rPr>
                <w:rFonts w:ascii="宋体" w:hAnsi="宋体" w:eastAsia="宋体"/>
                <w:u w:val="single"/>
              </w:rPr>
              <w:t>《医用气体</w:t>
            </w:r>
            <w:r>
              <w:rPr>
                <w:rFonts w:hint="eastAsia" w:ascii="宋体" w:hAnsi="宋体" w:eastAsia="宋体"/>
                <w:u w:val="single"/>
              </w:rPr>
              <w:t>工程技术规范》GB50751的要求。</w:t>
            </w:r>
          </w:p>
        </w:tc>
      </w:tr>
      <w:tr w14:paraId="66E28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597A139">
            <w:pPr>
              <w:jc w:val="center"/>
            </w:pPr>
          </w:p>
        </w:tc>
        <w:tc>
          <w:tcPr>
            <w:tcW w:w="4261" w:type="dxa"/>
          </w:tcPr>
          <w:p w14:paraId="3510F70D">
            <w:pPr>
              <w:jc w:val="center"/>
              <w:rPr>
                <w:u w:val="single"/>
              </w:rPr>
            </w:pPr>
            <w:r>
              <w:rPr>
                <w:rFonts w:hint="eastAsia"/>
                <w:u w:val="single"/>
              </w:rPr>
              <w:t>“平疫结合”的综合医院气源站房及设备一般规定</w:t>
            </w:r>
          </w:p>
        </w:tc>
      </w:tr>
      <w:tr w14:paraId="43AD3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AFEB66B"/>
        </w:tc>
        <w:tc>
          <w:tcPr>
            <w:tcW w:w="4261" w:type="dxa"/>
          </w:tcPr>
          <w:p w14:paraId="38A8ED87">
            <w:r>
              <w:rPr>
                <w:rFonts w:hint="eastAsia" w:ascii="宋体" w:hAnsi="宋体" w:eastAsia="宋体"/>
                <w:u w:val="single"/>
              </w:rPr>
              <w:t>10</w:t>
            </w:r>
            <w:r>
              <w:rPr>
                <w:rFonts w:ascii="宋体" w:hAnsi="宋体" w:eastAsia="宋体"/>
                <w:u w:val="single"/>
              </w:rPr>
              <w:t xml:space="preserve">.2.9A </w:t>
            </w:r>
            <w:r>
              <w:rPr>
                <w:rFonts w:hint="eastAsia" w:ascii="宋体" w:hAnsi="宋体" w:eastAsia="宋体"/>
                <w:u w:val="single"/>
              </w:rPr>
              <w:t>“平疫结合”的综合医院供“平疫结合”区使用的医用氧气、压缩空气可与医院其它区域合用气体站房或单独设置站房，医用氧气、压缩空气气源站房应设在非污染区域；负压吸引机房应单独设置站房并不得与医院其他负压吸引机房合用。</w:t>
            </w:r>
          </w:p>
        </w:tc>
      </w:tr>
      <w:tr w14:paraId="427F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76C95C3"/>
        </w:tc>
        <w:tc>
          <w:tcPr>
            <w:tcW w:w="4261" w:type="dxa"/>
          </w:tcPr>
          <w:p w14:paraId="4BBA3B3F">
            <w:r>
              <w:rPr>
                <w:rFonts w:ascii="宋体" w:hAnsi="宋体" w:eastAsia="宋体"/>
                <w:u w:val="single"/>
              </w:rPr>
              <w:t xml:space="preserve">10.2.9B </w:t>
            </w:r>
            <w:r>
              <w:rPr>
                <w:rFonts w:hint="eastAsia" w:ascii="宋体" w:hAnsi="宋体" w:eastAsia="宋体"/>
                <w:u w:val="single"/>
              </w:rPr>
              <w:t>“平疫结合”的综合医院医用气体站房应能满足疫情期间医用气体最大供应量，根据平疫供应量差别，考虑平时的用量以及疫情状态时用气量，预留疫情时扩建余地。</w:t>
            </w:r>
          </w:p>
        </w:tc>
      </w:tr>
      <w:tr w14:paraId="18587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9C85D73">
            <w:pPr>
              <w:jc w:val="center"/>
              <w:rPr>
                <w:rFonts w:asciiTheme="minorEastAsia" w:hAnsiTheme="minorEastAsia"/>
              </w:rPr>
            </w:pPr>
            <w:r>
              <w:rPr>
                <w:rFonts w:hint="eastAsia" w:asciiTheme="minorEastAsia" w:hAnsiTheme="minorEastAsia"/>
              </w:rPr>
              <w:t>10.3 气体配管</w:t>
            </w:r>
          </w:p>
        </w:tc>
        <w:tc>
          <w:tcPr>
            <w:tcW w:w="4261" w:type="dxa"/>
          </w:tcPr>
          <w:p w14:paraId="56B5D27A">
            <w:pPr>
              <w:jc w:val="center"/>
              <w:rPr>
                <w:rFonts w:asciiTheme="minorEastAsia" w:hAnsiTheme="minorEastAsia"/>
              </w:rPr>
            </w:pPr>
            <w:r>
              <w:rPr>
                <w:rFonts w:hint="eastAsia" w:asciiTheme="minorEastAsia" w:hAnsiTheme="minorEastAsia"/>
              </w:rPr>
              <w:t>10.3 气体配管</w:t>
            </w:r>
          </w:p>
        </w:tc>
      </w:tr>
      <w:tr w14:paraId="5858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154DFAA5"/>
        </w:tc>
        <w:tc>
          <w:tcPr>
            <w:tcW w:w="4261" w:type="dxa"/>
          </w:tcPr>
          <w:p w14:paraId="6B9543D6">
            <w:r>
              <w:rPr>
                <w:rFonts w:hint="eastAsia" w:ascii="宋体" w:hAnsi="宋体" w:eastAsia="宋体"/>
                <w:u w:val="single"/>
              </w:rPr>
              <w:t>10.3.1</w:t>
            </w:r>
            <w:r>
              <w:rPr>
                <w:rFonts w:ascii="宋体" w:hAnsi="宋体" w:eastAsia="宋体"/>
                <w:u w:val="single"/>
              </w:rPr>
              <w:t>2</w:t>
            </w:r>
            <w:r>
              <w:rPr>
                <w:rFonts w:hint="eastAsia" w:ascii="宋体" w:hAnsi="宋体" w:eastAsia="宋体"/>
                <w:u w:val="single"/>
              </w:rPr>
              <w:t xml:space="preserve"> “平疫结合”区医用气体管道支、干管管径均应能满足疫情时峰值流量供应需求。</w:t>
            </w:r>
          </w:p>
        </w:tc>
      </w:tr>
      <w:tr w14:paraId="21E92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FE4BE82"/>
        </w:tc>
        <w:tc>
          <w:tcPr>
            <w:tcW w:w="4261" w:type="dxa"/>
          </w:tcPr>
          <w:p w14:paraId="156D6C87">
            <w:r>
              <w:rPr>
                <w:rFonts w:hint="eastAsia" w:ascii="宋体" w:hAnsi="宋体" w:eastAsia="宋体"/>
                <w:u w:val="single"/>
              </w:rPr>
              <w:t>10.3.1</w:t>
            </w:r>
            <w:r>
              <w:rPr>
                <w:rFonts w:ascii="宋体" w:hAnsi="宋体" w:eastAsia="宋体"/>
                <w:u w:val="single"/>
              </w:rPr>
              <w:t xml:space="preserve">3 </w:t>
            </w:r>
            <w:r>
              <w:rPr>
                <w:rFonts w:hint="eastAsia" w:ascii="宋体" w:hAnsi="宋体" w:eastAsia="宋体"/>
                <w:u w:val="single"/>
              </w:rPr>
              <w:t>“平疫结合”区医用氧气、压缩空气与医院共用气源，管道应设置止回装置。</w:t>
            </w:r>
          </w:p>
        </w:tc>
      </w:tr>
      <w:tr w14:paraId="29438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9B1FAC0"/>
        </w:tc>
        <w:tc>
          <w:tcPr>
            <w:tcW w:w="4261" w:type="dxa"/>
          </w:tcPr>
          <w:p w14:paraId="0BED4A2E">
            <w:r>
              <w:rPr>
                <w:rFonts w:hint="eastAsia" w:ascii="宋体" w:hAnsi="宋体" w:eastAsia="宋体"/>
                <w:u w:val="single"/>
              </w:rPr>
              <w:t>10.3.1</w:t>
            </w:r>
            <w:r>
              <w:rPr>
                <w:rFonts w:ascii="宋体" w:hAnsi="宋体" w:eastAsia="宋体"/>
                <w:u w:val="single"/>
              </w:rPr>
              <w:t>4</w:t>
            </w:r>
            <w:r>
              <w:rPr>
                <w:rFonts w:hint="eastAsia" w:ascii="宋体" w:hAnsi="宋体" w:eastAsia="宋体"/>
                <w:u w:val="single"/>
              </w:rPr>
              <w:t xml:space="preserve"> “平疫结合”区医用氧气、医疗压缩空气管道均应进行10%的射线照相检测，其质量不低于Ⅲ级。</w:t>
            </w:r>
          </w:p>
        </w:tc>
      </w:tr>
      <w:tr w14:paraId="6DC74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E1AA4F2"/>
        </w:tc>
        <w:tc>
          <w:tcPr>
            <w:tcW w:w="4261" w:type="dxa"/>
          </w:tcPr>
          <w:p w14:paraId="7F36A0E4">
            <w:r>
              <w:rPr>
                <w:rFonts w:hint="eastAsia" w:ascii="宋体" w:hAnsi="宋体" w:eastAsia="宋体"/>
                <w:u w:val="single"/>
              </w:rPr>
              <w:t>10.3.1</w:t>
            </w:r>
            <w:r>
              <w:rPr>
                <w:rFonts w:ascii="宋体" w:hAnsi="宋体" w:eastAsia="宋体"/>
                <w:u w:val="single"/>
              </w:rPr>
              <w:t xml:space="preserve">5 </w:t>
            </w:r>
            <w:r>
              <w:rPr>
                <w:rFonts w:hint="eastAsia" w:ascii="宋体" w:hAnsi="宋体" w:eastAsia="宋体"/>
                <w:u w:val="single"/>
              </w:rPr>
              <w:t>“平疫结合”区医用气体管道均应做100%压力试验和泄漏性试验。</w:t>
            </w:r>
          </w:p>
        </w:tc>
      </w:tr>
      <w:tr w14:paraId="490C1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11D8917">
            <w:pPr>
              <w:jc w:val="center"/>
              <w:rPr>
                <w:rFonts w:asciiTheme="minorEastAsia" w:hAnsiTheme="minorEastAsia"/>
              </w:rPr>
            </w:pPr>
            <w:r>
              <w:rPr>
                <w:rFonts w:hint="eastAsia" w:asciiTheme="minorEastAsia" w:hAnsiTheme="minorEastAsia"/>
              </w:rPr>
              <w:t>10.4 医用气体终端</w:t>
            </w:r>
          </w:p>
        </w:tc>
        <w:tc>
          <w:tcPr>
            <w:tcW w:w="4261" w:type="dxa"/>
          </w:tcPr>
          <w:p w14:paraId="3520DEB2">
            <w:pPr>
              <w:jc w:val="center"/>
              <w:rPr>
                <w:rFonts w:asciiTheme="minorEastAsia" w:hAnsiTheme="minorEastAsia"/>
              </w:rPr>
            </w:pPr>
            <w:r>
              <w:rPr>
                <w:rFonts w:hint="eastAsia" w:asciiTheme="minorEastAsia" w:hAnsiTheme="minorEastAsia"/>
              </w:rPr>
              <w:t>10.4 医用气体终端</w:t>
            </w:r>
          </w:p>
        </w:tc>
      </w:tr>
      <w:tr w14:paraId="4A076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tcPr>
          <w:p w14:paraId="6F682CD2"/>
        </w:tc>
        <w:tc>
          <w:tcPr>
            <w:tcW w:w="4261" w:type="dxa"/>
          </w:tcPr>
          <w:p w14:paraId="0A8C78EA">
            <w:pPr>
              <w:rPr>
                <w:rFonts w:asciiTheme="minorEastAsia" w:hAnsiTheme="minorEastAsia"/>
              </w:rPr>
            </w:pPr>
            <w:r>
              <w:rPr>
                <w:rFonts w:hint="eastAsia" w:asciiTheme="minorEastAsia" w:hAnsiTheme="minorEastAsia"/>
                <w:u w:val="single"/>
              </w:rPr>
              <w:t>10.4.</w:t>
            </w:r>
            <w:r>
              <w:rPr>
                <w:rFonts w:asciiTheme="minorEastAsia" w:hAnsiTheme="minorEastAsia"/>
                <w:u w:val="single"/>
              </w:rPr>
              <w:t xml:space="preserve">3 </w:t>
            </w:r>
            <w:r>
              <w:rPr>
                <w:rFonts w:hint="eastAsia" w:asciiTheme="minorEastAsia" w:hAnsiTheme="minorEastAsia"/>
                <w:u w:val="single"/>
              </w:rPr>
              <w:t>“平疫结合”区医用气体终端数量设置应满足疫情期间治疗需求。</w:t>
            </w:r>
          </w:p>
        </w:tc>
      </w:tr>
      <w:tr w14:paraId="6C485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A5F3119">
            <w:pPr>
              <w:jc w:val="center"/>
            </w:pPr>
          </w:p>
        </w:tc>
        <w:tc>
          <w:tcPr>
            <w:tcW w:w="4261" w:type="dxa"/>
          </w:tcPr>
          <w:p w14:paraId="50EB41CE">
            <w:pPr>
              <w:jc w:val="center"/>
              <w:rPr>
                <w:rFonts w:asciiTheme="minorEastAsia" w:hAnsiTheme="minorEastAsia"/>
                <w:u w:val="single"/>
              </w:rPr>
            </w:pPr>
            <w:r>
              <w:rPr>
                <w:rFonts w:hint="eastAsia" w:asciiTheme="minorEastAsia" w:hAnsiTheme="minorEastAsia"/>
                <w:u w:val="single"/>
              </w:rPr>
              <w:t>10.5 医用气体监测报警系统</w:t>
            </w:r>
          </w:p>
        </w:tc>
      </w:tr>
      <w:tr w14:paraId="3F31D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F676FDF"/>
        </w:tc>
        <w:tc>
          <w:tcPr>
            <w:tcW w:w="4261" w:type="dxa"/>
          </w:tcPr>
          <w:p w14:paraId="2E3B978D">
            <w:r>
              <w:rPr>
                <w:rFonts w:ascii="宋体" w:hAnsi="宋体" w:eastAsia="宋体"/>
                <w:u w:val="single"/>
              </w:rPr>
              <w:t>10.5.</w:t>
            </w:r>
            <w:r>
              <w:rPr>
                <w:rFonts w:hint="eastAsia" w:ascii="宋体" w:hAnsi="宋体" w:eastAsia="宋体"/>
                <w:u w:val="single"/>
              </w:rPr>
              <w:t>1</w:t>
            </w:r>
            <w:r>
              <w:rPr>
                <w:rFonts w:ascii="宋体" w:hAnsi="宋体" w:eastAsia="宋体"/>
                <w:u w:val="single"/>
              </w:rPr>
              <w:t xml:space="preserve"> </w:t>
            </w:r>
            <w:r>
              <w:rPr>
                <w:rFonts w:hint="eastAsia" w:ascii="宋体" w:hAnsi="宋体" w:eastAsia="宋体"/>
                <w:u w:val="single"/>
              </w:rPr>
              <w:t>医用气体系统设置气源、区域报警器和流量监测，报警信号和流量监测信号应接至楼控系统或医用气体独立的监测报警系统。</w:t>
            </w:r>
          </w:p>
        </w:tc>
      </w:tr>
      <w:tr w14:paraId="16D0A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6471179"/>
        </w:tc>
        <w:tc>
          <w:tcPr>
            <w:tcW w:w="4261" w:type="dxa"/>
          </w:tcPr>
          <w:p w14:paraId="1F76420D">
            <w:r>
              <w:rPr>
                <w:rFonts w:ascii="宋体" w:hAnsi="宋体" w:eastAsia="宋体"/>
                <w:u w:val="single"/>
              </w:rPr>
              <w:t xml:space="preserve">10.5.2 </w:t>
            </w:r>
            <w:r>
              <w:rPr>
                <w:rFonts w:hint="eastAsia" w:ascii="宋体" w:hAnsi="宋体" w:eastAsia="宋体"/>
                <w:u w:val="single"/>
              </w:rPr>
              <w:t>护士站或有其它人员监视的区域设置医用气体区域报警器，显示该区域医用气体系统压力，同时设置声、光报警。</w:t>
            </w:r>
          </w:p>
        </w:tc>
      </w:tr>
      <w:tr w14:paraId="33713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C9E9633"/>
        </w:tc>
        <w:tc>
          <w:tcPr>
            <w:tcW w:w="4261" w:type="dxa"/>
          </w:tcPr>
          <w:p w14:paraId="4AF4FBEB">
            <w:r>
              <w:rPr>
                <w:rFonts w:ascii="宋体" w:hAnsi="宋体" w:eastAsia="宋体"/>
                <w:u w:val="single"/>
              </w:rPr>
              <w:t xml:space="preserve">10.5.3 </w:t>
            </w:r>
            <w:r>
              <w:rPr>
                <w:rFonts w:hint="eastAsia" w:ascii="宋体" w:hAnsi="宋体" w:eastAsia="宋体"/>
                <w:u w:val="single"/>
              </w:rPr>
              <w:t>“平疫结合”区医用气体宜设置独立监测报警系统。</w:t>
            </w:r>
          </w:p>
        </w:tc>
      </w:tr>
      <w:tr w14:paraId="5EFD0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7CFB839">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11.蒸气系统</w:t>
            </w:r>
          </w:p>
        </w:tc>
        <w:tc>
          <w:tcPr>
            <w:tcW w:w="4261" w:type="dxa"/>
          </w:tcPr>
          <w:p w14:paraId="46DB1D3A">
            <w:pPr>
              <w:pStyle w:val="2"/>
              <w:adjustRightInd w:val="0"/>
              <w:snapToGrid w:val="0"/>
              <w:spacing w:beforeLines="0" w:afterLines="0" w:line="360" w:lineRule="auto"/>
              <w:outlineLvl w:val="0"/>
              <w:rPr>
                <w:rFonts w:asciiTheme="minorEastAsia" w:hAnsiTheme="minorEastAsia"/>
                <w:b w:val="0"/>
                <w:sz w:val="24"/>
                <w:szCs w:val="24"/>
              </w:rPr>
            </w:pPr>
            <w:r>
              <w:rPr>
                <w:rFonts w:hint="eastAsia" w:asciiTheme="minorEastAsia" w:hAnsiTheme="minorEastAsia"/>
                <w:b w:val="0"/>
                <w:sz w:val="24"/>
                <w:szCs w:val="24"/>
              </w:rPr>
              <w:t>11.蒸气系统</w:t>
            </w:r>
          </w:p>
        </w:tc>
      </w:tr>
      <w:tr w14:paraId="538D6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D258C80">
            <w:pPr>
              <w:rPr>
                <w:b/>
              </w:rPr>
            </w:pPr>
            <w:r>
              <w:rPr>
                <w:rFonts w:hint="eastAsia" w:ascii="宋体" w:hAnsi="宋体" w:eastAsia="宋体"/>
              </w:rPr>
              <w:t>1</w:t>
            </w:r>
            <w:r>
              <w:rPr>
                <w:rFonts w:ascii="宋体" w:hAnsi="宋体" w:eastAsia="宋体"/>
              </w:rPr>
              <w:t>1</w:t>
            </w:r>
            <w:r>
              <w:rPr>
                <w:rFonts w:hint="eastAsia" w:ascii="宋体" w:hAnsi="宋体" w:eastAsia="宋体"/>
              </w:rPr>
              <w:t>.0.1 医院宜设置蒸气系统。蒸气可用于消毒供应、食品加工、配餐、洗衣、</w:t>
            </w:r>
            <w:r>
              <w:rPr>
                <w:rFonts w:hint="eastAsia" w:ascii="宋体" w:hAnsi="宋体" w:eastAsia="宋体"/>
                <w:bCs/>
                <w:bdr w:val="single" w:color="auto" w:sz="4" w:space="0"/>
              </w:rPr>
              <w:t>生活热水换热、</w:t>
            </w:r>
            <w:r>
              <w:rPr>
                <w:rFonts w:hint="eastAsia" w:ascii="宋体" w:hAnsi="宋体" w:eastAsia="宋体"/>
              </w:rPr>
              <w:t>污洗、空气加湿等。当消毒供应、空气加湿采用蒸气时，应在使用点前的管道上设置过滤除污装置。</w:t>
            </w:r>
          </w:p>
        </w:tc>
        <w:tc>
          <w:tcPr>
            <w:tcW w:w="4261" w:type="dxa"/>
          </w:tcPr>
          <w:p w14:paraId="148BD595">
            <w:r>
              <w:rPr>
                <w:rFonts w:hint="eastAsia" w:ascii="宋体" w:hAnsi="宋体" w:eastAsia="宋体"/>
              </w:rPr>
              <w:t>1</w:t>
            </w:r>
            <w:r>
              <w:rPr>
                <w:rFonts w:ascii="宋体" w:hAnsi="宋体" w:eastAsia="宋体"/>
              </w:rPr>
              <w:t>1</w:t>
            </w:r>
            <w:r>
              <w:rPr>
                <w:rFonts w:hint="eastAsia" w:ascii="宋体" w:hAnsi="宋体" w:eastAsia="宋体"/>
              </w:rPr>
              <w:t>.0.1 医院宜设置蒸气系统。蒸气可用于消毒供应、食品加工、配餐、洗衣、污洗、空气加湿等。当消毒供应、空气加湿采用蒸气时，应在使用点前的管道上设置过滤除污装置。</w:t>
            </w:r>
          </w:p>
        </w:tc>
      </w:tr>
    </w:tbl>
    <w:p w14:paraId="3066B055">
      <w:pPr>
        <w:pageBreakBefore/>
        <w:spacing w:line="1000" w:lineRule="exact"/>
        <w:jc w:val="center"/>
        <w:rPr>
          <w:rFonts w:eastAsia="宋体"/>
          <w:b/>
          <w:sz w:val="36"/>
          <w:szCs w:val="20"/>
        </w:rPr>
      </w:pPr>
    </w:p>
    <w:p w14:paraId="6E877A21">
      <w:pPr>
        <w:spacing w:line="1000" w:lineRule="exact"/>
        <w:jc w:val="center"/>
        <w:rPr>
          <w:rFonts w:eastAsia="宋体"/>
          <w:b/>
          <w:sz w:val="36"/>
          <w:szCs w:val="20"/>
        </w:rPr>
      </w:pPr>
      <w:r>
        <w:rPr>
          <w:rFonts w:eastAsia="宋体"/>
          <w:b/>
          <w:sz w:val="36"/>
          <w:szCs w:val="20"/>
        </w:rPr>
        <w:t>中华人民共和国国家标准</w:t>
      </w:r>
    </w:p>
    <w:p w14:paraId="5E65283E">
      <w:pPr>
        <w:spacing w:line="1000" w:lineRule="exact"/>
        <w:jc w:val="center"/>
        <w:rPr>
          <w:rFonts w:eastAsia="宋体"/>
          <w:b/>
          <w:sz w:val="36"/>
          <w:szCs w:val="20"/>
        </w:rPr>
      </w:pPr>
    </w:p>
    <w:p w14:paraId="69C5ADDC">
      <w:pPr>
        <w:spacing w:line="1000" w:lineRule="exact"/>
        <w:jc w:val="center"/>
        <w:rPr>
          <w:rFonts w:eastAsia="宋体"/>
          <w:b/>
          <w:sz w:val="44"/>
          <w:szCs w:val="44"/>
        </w:rPr>
      </w:pPr>
      <w:r>
        <w:rPr>
          <w:rFonts w:hint="eastAsia" w:eastAsia="宋体"/>
          <w:b/>
          <w:sz w:val="44"/>
          <w:szCs w:val="44"/>
        </w:rPr>
        <w:t>综合医院建筑设计规范</w:t>
      </w:r>
    </w:p>
    <w:p w14:paraId="5FABBADE">
      <w:pPr>
        <w:spacing w:line="240" w:lineRule="auto"/>
        <w:jc w:val="center"/>
        <w:rPr>
          <w:rFonts w:eastAsia="宋体"/>
          <w:b/>
          <w:sz w:val="28"/>
          <w:szCs w:val="28"/>
        </w:rPr>
      </w:pPr>
      <w:r>
        <w:rPr>
          <w:rFonts w:eastAsia="宋体"/>
          <w:b/>
          <w:sz w:val="28"/>
          <w:szCs w:val="28"/>
        </w:rPr>
        <w:t>GB51039-2014</w:t>
      </w:r>
    </w:p>
    <w:p w14:paraId="5A2CD0B5">
      <w:pPr>
        <w:spacing w:line="1000" w:lineRule="exact"/>
        <w:jc w:val="center"/>
        <w:outlineLvl w:val="0"/>
        <w:rPr>
          <w:rFonts w:eastAsia="宋体"/>
          <w:sz w:val="32"/>
          <w:szCs w:val="20"/>
        </w:rPr>
      </w:pPr>
      <w:r>
        <w:rPr>
          <w:rFonts w:eastAsia="宋体"/>
          <w:kern w:val="44"/>
          <w:sz w:val="32"/>
          <w:szCs w:val="22"/>
        </w:rPr>
        <w:t>条文说明</w:t>
      </w:r>
    </w:p>
    <w:p w14:paraId="044F857A">
      <w:pPr>
        <w:spacing w:line="1000" w:lineRule="exact"/>
        <w:jc w:val="center"/>
        <w:rPr>
          <w:rFonts w:eastAsia="宋体"/>
          <w:sz w:val="32"/>
          <w:szCs w:val="20"/>
        </w:rPr>
      </w:pPr>
    </w:p>
    <w:p w14:paraId="79C04500">
      <w:pPr>
        <w:spacing w:line="1000" w:lineRule="exact"/>
        <w:jc w:val="center"/>
        <w:rPr>
          <w:rFonts w:eastAsia="宋体"/>
          <w:sz w:val="32"/>
          <w:szCs w:val="20"/>
        </w:rPr>
      </w:pPr>
    </w:p>
    <w:p w14:paraId="60240D3B">
      <w:pPr>
        <w:spacing w:line="1000" w:lineRule="exact"/>
        <w:jc w:val="center"/>
        <w:rPr>
          <w:rFonts w:eastAsia="宋体"/>
          <w:sz w:val="32"/>
          <w:szCs w:val="20"/>
        </w:rPr>
      </w:pPr>
    </w:p>
    <w:p w14:paraId="621C7091">
      <w:pPr>
        <w:spacing w:line="1000" w:lineRule="exact"/>
        <w:jc w:val="center"/>
        <w:rPr>
          <w:rFonts w:eastAsia="宋体"/>
          <w:sz w:val="32"/>
          <w:szCs w:val="20"/>
        </w:rPr>
      </w:pPr>
    </w:p>
    <w:p w14:paraId="7817463C">
      <w:pPr>
        <w:spacing w:line="1000" w:lineRule="exact"/>
        <w:jc w:val="center"/>
        <w:rPr>
          <w:rFonts w:eastAsia="宋体"/>
          <w:sz w:val="32"/>
          <w:szCs w:val="20"/>
        </w:rPr>
      </w:pPr>
    </w:p>
    <w:p w14:paraId="2FEE6AA7">
      <w:pPr>
        <w:spacing w:line="1000" w:lineRule="exact"/>
        <w:jc w:val="center"/>
        <w:rPr>
          <w:rFonts w:eastAsia="宋体"/>
          <w:sz w:val="32"/>
          <w:szCs w:val="20"/>
        </w:rPr>
      </w:pPr>
    </w:p>
    <w:p w14:paraId="687E5013">
      <w:pPr>
        <w:spacing w:line="1000" w:lineRule="exact"/>
        <w:jc w:val="center"/>
        <w:rPr>
          <w:rFonts w:eastAsia="宋体"/>
          <w:sz w:val="32"/>
          <w:szCs w:val="20"/>
        </w:rPr>
      </w:pPr>
    </w:p>
    <w:p w14:paraId="50D2C6B6">
      <w:pPr>
        <w:spacing w:line="1000" w:lineRule="exact"/>
        <w:jc w:val="center"/>
        <w:rPr>
          <w:rFonts w:eastAsia="宋体"/>
          <w:sz w:val="32"/>
          <w:szCs w:val="20"/>
        </w:rPr>
      </w:pPr>
    </w:p>
    <w:p w14:paraId="14378904">
      <w:pPr>
        <w:pageBreakBefore/>
        <w:spacing w:before="624" w:beforeLines="200" w:after="312" w:afterLines="100"/>
        <w:jc w:val="center"/>
        <w:outlineLvl w:val="1"/>
        <w:rPr>
          <w:rFonts w:ascii="宋体" w:hAnsi="宋体" w:eastAsia="宋体" w:cs="黑体"/>
          <w:b/>
          <w:spacing w:val="-4"/>
          <w:sz w:val="32"/>
          <w:szCs w:val="28"/>
        </w:rPr>
      </w:pPr>
      <w:bookmarkStart w:id="61" w:name="_Toc85880712"/>
      <w:bookmarkStart w:id="62" w:name="_Toc85880805"/>
      <w:r>
        <w:rPr>
          <w:rFonts w:hint="eastAsia" w:ascii="宋体" w:hAnsi="宋体" w:eastAsia="宋体" w:cs="黑体"/>
          <w:b/>
          <w:spacing w:val="-4"/>
          <w:sz w:val="32"/>
          <w:szCs w:val="28"/>
        </w:rPr>
        <w:t>1.总  则</w:t>
      </w:r>
      <w:bookmarkEnd w:id="61"/>
      <w:bookmarkEnd w:id="62"/>
    </w:p>
    <w:p w14:paraId="319015C1">
      <w:pPr>
        <w:spacing w:before="312" w:beforeLines="100"/>
        <w:rPr>
          <w:rFonts w:cs="黑体" w:asciiTheme="minorEastAsia" w:hAnsiTheme="minorEastAsia"/>
          <w:spacing w:val="-4"/>
        </w:rPr>
      </w:pPr>
      <w:r>
        <w:rPr>
          <w:rFonts w:cs="宋体" w:asciiTheme="minorEastAsia" w:hAnsiTheme="minorEastAsia"/>
          <w:bCs/>
        </w:rPr>
        <w:t>1.0.1</w:t>
      </w:r>
      <w:r>
        <w:rPr>
          <w:rFonts w:cs="宋体" w:asciiTheme="minorEastAsia" w:hAnsiTheme="minorEastAsia"/>
          <w:b/>
        </w:rPr>
        <w:t xml:space="preserve"> </w:t>
      </w:r>
      <w:r>
        <w:rPr>
          <w:rFonts w:hint="eastAsia" w:asciiTheme="minorEastAsia" w:hAnsiTheme="minorEastAsia"/>
          <w:u w:val="single"/>
        </w:rPr>
        <w:t>综合医院是</w:t>
      </w:r>
      <w:r>
        <w:rPr>
          <w:rFonts w:asciiTheme="minorEastAsia" w:hAnsiTheme="minorEastAsia"/>
          <w:u w:val="single"/>
        </w:rPr>
        <w:t>我国</w:t>
      </w:r>
      <w:r>
        <w:rPr>
          <w:rFonts w:hint="eastAsia" w:asciiTheme="minorEastAsia" w:hAnsiTheme="minorEastAsia"/>
          <w:u w:val="single"/>
        </w:rPr>
        <w:t>医疗</w:t>
      </w:r>
      <w:r>
        <w:rPr>
          <w:rFonts w:asciiTheme="minorEastAsia" w:hAnsiTheme="minorEastAsia"/>
          <w:u w:val="single"/>
        </w:rPr>
        <w:t>卫生</w:t>
      </w:r>
      <w:r>
        <w:rPr>
          <w:rFonts w:hint="eastAsia" w:asciiTheme="minorEastAsia" w:hAnsiTheme="minorEastAsia"/>
          <w:u w:val="single"/>
        </w:rPr>
        <w:t>服务</w:t>
      </w:r>
      <w:r>
        <w:rPr>
          <w:rFonts w:asciiTheme="minorEastAsia" w:hAnsiTheme="minorEastAsia"/>
          <w:u w:val="single"/>
        </w:rPr>
        <w:t>体系的</w:t>
      </w:r>
      <w:r>
        <w:rPr>
          <w:rFonts w:hint="eastAsia" w:asciiTheme="minorEastAsia" w:hAnsiTheme="minorEastAsia"/>
          <w:u w:val="single"/>
        </w:rPr>
        <w:t>重要组成部分。为</w:t>
      </w:r>
      <w:r>
        <w:rPr>
          <w:rFonts w:asciiTheme="minorEastAsia" w:hAnsiTheme="minorEastAsia"/>
          <w:u w:val="single"/>
        </w:rPr>
        <w:t>指导全国</w:t>
      </w:r>
      <w:r>
        <w:rPr>
          <w:rFonts w:hint="eastAsia" w:asciiTheme="minorEastAsia" w:hAnsiTheme="minorEastAsia"/>
          <w:u w:val="single"/>
        </w:rPr>
        <w:t>综合医院的设计建设</w:t>
      </w:r>
      <w:r>
        <w:rPr>
          <w:rFonts w:asciiTheme="minorEastAsia" w:hAnsiTheme="minorEastAsia"/>
          <w:u w:val="single"/>
        </w:rPr>
        <w:t>，</w:t>
      </w:r>
      <w:r>
        <w:rPr>
          <w:rFonts w:hint="eastAsia" w:asciiTheme="minorEastAsia" w:hAnsiTheme="minorEastAsia"/>
          <w:u w:val="single"/>
        </w:rPr>
        <w:t>2015年</w:t>
      </w:r>
      <w:r>
        <w:rPr>
          <w:rFonts w:asciiTheme="minorEastAsia" w:hAnsiTheme="minorEastAsia"/>
          <w:u w:val="single"/>
        </w:rPr>
        <w:t>，</w:t>
      </w:r>
      <w:r>
        <w:rPr>
          <w:rFonts w:hint="eastAsia" w:asciiTheme="minorEastAsia" w:hAnsiTheme="minorEastAsia"/>
          <w:u w:val="single"/>
        </w:rPr>
        <w:t>原国家卫生和计划生育委员会主编了《综合医院建筑设计规范》（</w:t>
      </w:r>
      <w:r>
        <w:rPr>
          <w:rFonts w:asciiTheme="minorEastAsia" w:hAnsiTheme="minorEastAsia"/>
          <w:u w:val="single"/>
        </w:rPr>
        <w:t>GB51039-2014</w:t>
      </w:r>
      <w:r>
        <w:rPr>
          <w:rFonts w:hint="eastAsia" w:asciiTheme="minorEastAsia" w:hAnsiTheme="minorEastAsia"/>
          <w:u w:val="single"/>
        </w:rPr>
        <w:t>）（以下简称规范），并经国家住房和城乡建设部批准在全国施行。《规范》的发布实施，对全国各地综合医院的规划设计及工程建设起到了重要的规范、指导作用。目前《规范》施行至今已进入</w:t>
      </w:r>
      <w:r>
        <w:rPr>
          <w:rFonts w:asciiTheme="minorEastAsia" w:hAnsiTheme="minorEastAsia"/>
          <w:u w:val="single"/>
        </w:rPr>
        <w:t>第</w:t>
      </w:r>
      <w:r>
        <w:rPr>
          <w:rFonts w:hint="eastAsia" w:asciiTheme="minorEastAsia" w:hAnsiTheme="minorEastAsia"/>
          <w:u w:val="single"/>
        </w:rPr>
        <w:t>7</w:t>
      </w:r>
      <w:r>
        <w:rPr>
          <w:rFonts w:asciiTheme="minorEastAsia" w:hAnsiTheme="minorEastAsia"/>
          <w:u w:val="single"/>
        </w:rPr>
        <w:t>年</w:t>
      </w:r>
      <w:r>
        <w:rPr>
          <w:rFonts w:hint="eastAsia" w:asciiTheme="minorEastAsia" w:hAnsiTheme="minorEastAsia"/>
          <w:u w:val="single"/>
        </w:rPr>
        <w:t>，跨越了整个“十三五”发展时期，这时期是</w:t>
      </w:r>
      <w:r>
        <w:rPr>
          <w:rFonts w:asciiTheme="minorEastAsia" w:hAnsiTheme="minorEastAsia"/>
          <w:u w:val="single"/>
        </w:rPr>
        <w:t>国家</w:t>
      </w:r>
      <w:r>
        <w:rPr>
          <w:rFonts w:hint="eastAsia" w:asciiTheme="minorEastAsia" w:hAnsiTheme="minorEastAsia"/>
          <w:u w:val="single"/>
        </w:rPr>
        <w:t>城镇</w:t>
      </w:r>
      <w:r>
        <w:rPr>
          <w:rFonts w:asciiTheme="minorEastAsia" w:hAnsiTheme="minorEastAsia"/>
          <w:u w:val="single"/>
        </w:rPr>
        <w:t>人口大幅增加</w:t>
      </w:r>
      <w:r>
        <w:rPr>
          <w:rFonts w:hint="eastAsia" w:asciiTheme="minorEastAsia" w:hAnsiTheme="minorEastAsia"/>
          <w:u w:val="single"/>
        </w:rPr>
        <w:t>、国民经济发展较快、综合国力显著增强的时期。</w:t>
      </w:r>
      <w:r>
        <w:rPr>
          <w:rFonts w:asciiTheme="minorEastAsia" w:hAnsiTheme="minorEastAsia"/>
          <w:u w:val="single"/>
        </w:rPr>
        <w:t>人民生活水平</w:t>
      </w:r>
      <w:r>
        <w:rPr>
          <w:rFonts w:hint="eastAsia" w:asciiTheme="minorEastAsia" w:hAnsiTheme="minorEastAsia"/>
          <w:u w:val="single"/>
        </w:rPr>
        <w:t>的不断提高、疫情防控需要、医疗模式和医学技术的发展、信息技术和物流系统等的发展，对医院建筑设计、建设提出了一些新的要求。</w:t>
      </w:r>
      <w:r>
        <w:rPr>
          <w:rFonts w:cs="宋体" w:asciiTheme="minorEastAsia" w:hAnsiTheme="minorEastAsia"/>
          <w:bdr w:val="single" w:color="auto" w:sz="4" w:space="0"/>
        </w:rPr>
        <w:t>《综合医院建筑设计规范》</w:t>
      </w:r>
      <w:r>
        <w:rPr>
          <w:rFonts w:hint="eastAsia" w:cs="宋体" w:asciiTheme="minorEastAsia" w:hAnsiTheme="minorEastAsia"/>
          <w:bdr w:val="single" w:color="auto" w:sz="4" w:space="0"/>
        </w:rPr>
        <w:t>JGJ49-88</w:t>
      </w:r>
      <w:r>
        <w:rPr>
          <w:rFonts w:cs="宋体" w:asciiTheme="minorEastAsia" w:hAnsiTheme="minorEastAsia"/>
          <w:bdr w:val="single" w:color="auto" w:sz="4" w:space="0"/>
        </w:rPr>
        <w:t>是198</w:t>
      </w:r>
      <w:r>
        <w:rPr>
          <w:rFonts w:hint="eastAsia" w:cs="宋体" w:asciiTheme="minorEastAsia" w:hAnsiTheme="minorEastAsia"/>
          <w:bdr w:val="single" w:color="auto" w:sz="4" w:space="0"/>
        </w:rPr>
        <w:t>8年由原建设部、卫生部批准颁布的行业标准，至今已经26年。这一时期，我国发生了巨大的变化，综合国力显著增强，人民生活水平大幅度提高，人民群众医疗观念也不断变化，医疗服务需求不断增加。同时随着医学科学的发展，医疗模式的转变，建筑技术的提高，对医院建筑提出了新的要求</w:t>
      </w:r>
      <w:r>
        <w:rPr>
          <w:rFonts w:hint="eastAsia" w:cs="宋体" w:asciiTheme="minorEastAsia" w:hAnsiTheme="minorEastAsia"/>
        </w:rPr>
        <w:t>。</w:t>
      </w:r>
      <w:r>
        <w:rPr>
          <w:rFonts w:cs="宋体" w:asciiTheme="minorEastAsia" w:hAnsiTheme="minorEastAsia"/>
        </w:rPr>
        <w:t>为适应新时期医院建设</w:t>
      </w:r>
      <w:r>
        <w:rPr>
          <w:rFonts w:hint="eastAsia" w:cs="宋体" w:asciiTheme="minorEastAsia" w:hAnsiTheme="minorEastAsia"/>
        </w:rPr>
        <w:t>发展的需要</w:t>
      </w:r>
      <w:r>
        <w:rPr>
          <w:rFonts w:cs="宋体" w:asciiTheme="minorEastAsia" w:hAnsiTheme="minorEastAsia"/>
        </w:rPr>
        <w:t>，在原有规范的基础上</w:t>
      </w:r>
      <w:r>
        <w:rPr>
          <w:rFonts w:hint="eastAsia" w:cs="宋体" w:asciiTheme="minorEastAsia" w:hAnsiTheme="minorEastAsia"/>
          <w:bdr w:val="single" w:color="auto" w:sz="4" w:space="0"/>
        </w:rPr>
        <w:t>制定国家标准</w:t>
      </w:r>
      <w:r>
        <w:rPr>
          <w:rFonts w:cs="宋体" w:asciiTheme="minorEastAsia" w:hAnsiTheme="minorEastAsia"/>
          <w:u w:val="single"/>
        </w:rPr>
        <w:t>对条文进行修订</w:t>
      </w:r>
      <w:r>
        <w:rPr>
          <w:rFonts w:cs="宋体" w:asciiTheme="minorEastAsia" w:hAnsiTheme="minorEastAsia"/>
        </w:rPr>
        <w:t>，以指导综合医院建设工作是十分必要的。</w:t>
      </w:r>
    </w:p>
    <w:p w14:paraId="7F9F5989">
      <w:pPr>
        <w:spacing w:before="312" w:beforeLines="100"/>
        <w:rPr>
          <w:rFonts w:asciiTheme="minorEastAsia" w:hAnsiTheme="minorEastAsia"/>
        </w:rPr>
      </w:pPr>
      <w:r>
        <w:rPr>
          <w:rFonts w:asciiTheme="minorEastAsia" w:hAnsiTheme="minorEastAsia"/>
          <w:bCs/>
          <w:snapToGrid w:val="0"/>
          <w:spacing w:val="8"/>
          <w:kern w:val="0"/>
        </w:rPr>
        <w:t>1.0.2</w:t>
      </w:r>
      <w:r>
        <w:rPr>
          <w:rFonts w:asciiTheme="minorEastAsia" w:hAnsiTheme="minorEastAsia"/>
          <w:b/>
          <w:snapToGrid w:val="0"/>
          <w:spacing w:val="8"/>
          <w:kern w:val="0"/>
        </w:rPr>
        <w:t xml:space="preserve"> </w:t>
      </w:r>
      <w:r>
        <w:rPr>
          <w:rFonts w:asciiTheme="minorEastAsia" w:hAnsiTheme="minorEastAsia"/>
        </w:rPr>
        <w:t>本条明确了本规范的适用范围。在实际执行中，专科医院</w:t>
      </w:r>
      <w:r>
        <w:rPr>
          <w:rFonts w:asciiTheme="minorEastAsia" w:hAnsiTheme="minorEastAsia"/>
          <w:u w:val="single"/>
        </w:rPr>
        <w:t>等</w:t>
      </w:r>
      <w:r>
        <w:rPr>
          <w:rFonts w:hint="eastAsia" w:asciiTheme="minorEastAsia" w:hAnsiTheme="minorEastAsia"/>
          <w:u w:val="single"/>
        </w:rPr>
        <w:t>其他</w:t>
      </w:r>
      <w:r>
        <w:rPr>
          <w:rFonts w:hint="eastAsia" w:cs="黑体" w:asciiTheme="minorEastAsia" w:hAnsiTheme="minorEastAsia"/>
          <w:spacing w:val="-4"/>
          <w:u w:val="single"/>
        </w:rPr>
        <w:t>医疗类工程项目</w:t>
      </w:r>
      <w:r>
        <w:rPr>
          <w:rFonts w:asciiTheme="minorEastAsia" w:hAnsiTheme="minorEastAsia"/>
        </w:rPr>
        <w:t>可以</w:t>
      </w:r>
      <w:r>
        <w:rPr>
          <w:rFonts w:asciiTheme="minorEastAsia" w:hAnsiTheme="minorEastAsia"/>
          <w:bdr w:val="single" w:color="auto" w:sz="4" w:space="0"/>
        </w:rPr>
        <w:t>按</w:t>
      </w:r>
      <w:r>
        <w:rPr>
          <w:rFonts w:asciiTheme="minorEastAsia" w:hAnsiTheme="minorEastAsia"/>
          <w:u w:val="single"/>
        </w:rPr>
        <w:t>参</w:t>
      </w:r>
      <w:r>
        <w:rPr>
          <w:rFonts w:asciiTheme="minorEastAsia" w:hAnsiTheme="minorEastAsia"/>
        </w:rPr>
        <w:t>照执行，但在医院前期工作中应将其明确。</w:t>
      </w:r>
    </w:p>
    <w:p w14:paraId="1F3AE777">
      <w:pPr>
        <w:spacing w:before="312" w:beforeLines="100"/>
        <w:rPr>
          <w:rFonts w:asciiTheme="minorEastAsia" w:hAnsiTheme="minorEastAsia"/>
          <w:bCs/>
        </w:rPr>
      </w:pPr>
      <w:r>
        <w:rPr>
          <w:rFonts w:asciiTheme="minorEastAsia" w:hAnsiTheme="minorEastAsia"/>
          <w:bCs/>
          <w:snapToGrid w:val="0"/>
          <w:spacing w:val="8"/>
          <w:kern w:val="0"/>
        </w:rPr>
        <w:t>1.0.3</w:t>
      </w:r>
      <w:r>
        <w:rPr>
          <w:rFonts w:asciiTheme="minorEastAsia" w:hAnsiTheme="minorEastAsia"/>
        </w:rPr>
        <w:t xml:space="preserve"> </w:t>
      </w:r>
      <w:r>
        <w:rPr>
          <w:rFonts w:hint="eastAsia" w:asciiTheme="minorEastAsia" w:hAnsiTheme="minorEastAsia"/>
        </w:rPr>
        <w:t>认真做好项目的前期准备工作，尤其是经过充分的调研和论证，编制好既符合客观规律又具有可操作性的可行性研究报告与设计任务书，是所有建设项目不可缺少的重要环节。而多年来这一点始终是医院建设的薄弱之处。鉴于医院建筑设计流程复杂、工作周期长、投入产出比相对不高，专业承担医院设计的单位较少，导致在实际设计中造成医院建设项目在规模、功能、流程、投资等各方面存在问题</w:t>
      </w:r>
      <w:r>
        <w:rPr>
          <w:rFonts w:asciiTheme="minorEastAsia" w:hAnsiTheme="minorEastAsia"/>
        </w:rPr>
        <w:t>。</w:t>
      </w:r>
      <w:r>
        <w:rPr>
          <w:rFonts w:hint="eastAsia" w:asciiTheme="minorEastAsia" w:hAnsiTheme="minorEastAsia"/>
        </w:rPr>
        <w:t>因此</w:t>
      </w:r>
      <w:r>
        <w:rPr>
          <w:rFonts w:asciiTheme="minorEastAsia" w:hAnsiTheme="minorEastAsia"/>
        </w:rPr>
        <w:t>，本</w:t>
      </w:r>
      <w:r>
        <w:rPr>
          <w:rFonts w:asciiTheme="minorEastAsia" w:hAnsiTheme="minorEastAsia"/>
          <w:u w:val="single"/>
        </w:rPr>
        <w:t>次修订</w:t>
      </w:r>
      <w:r>
        <w:rPr>
          <w:rFonts w:asciiTheme="minorEastAsia" w:hAnsiTheme="minorEastAsia"/>
          <w:bdr w:val="single" w:color="auto" w:sz="4" w:space="0"/>
        </w:rPr>
        <w:t>规范</w:t>
      </w:r>
      <w:r>
        <w:rPr>
          <w:rFonts w:asciiTheme="minorEastAsia" w:hAnsiTheme="minorEastAsia"/>
          <w:u w:val="single"/>
        </w:rPr>
        <w:t>在</w:t>
      </w:r>
      <w:r>
        <w:rPr>
          <w:rFonts w:hint="eastAsia" w:asciiTheme="minorEastAsia" w:hAnsiTheme="minorEastAsia"/>
          <w:u w:val="single"/>
        </w:rPr>
        <w:t>原规范</w:t>
      </w:r>
      <w:r>
        <w:rPr>
          <w:rFonts w:asciiTheme="minorEastAsia" w:hAnsiTheme="minorEastAsia"/>
          <w:u w:val="single"/>
        </w:rPr>
        <w:t>的基础上补充</w:t>
      </w:r>
      <w:r>
        <w:rPr>
          <w:rFonts w:asciiTheme="minorEastAsia" w:hAnsiTheme="minorEastAsia"/>
          <w:bdr w:val="single" w:color="auto" w:sz="4" w:space="0"/>
        </w:rPr>
        <w:t>增加</w:t>
      </w:r>
      <w:r>
        <w:rPr>
          <w:rFonts w:asciiTheme="minorEastAsia" w:hAnsiTheme="minorEastAsia"/>
        </w:rPr>
        <w:t>了医院工艺设计章节</w:t>
      </w:r>
      <w:r>
        <w:rPr>
          <w:rFonts w:asciiTheme="minorEastAsia" w:hAnsiTheme="minorEastAsia"/>
          <w:u w:val="single"/>
        </w:rPr>
        <w:t>的部分内容</w:t>
      </w:r>
      <w:r>
        <w:rPr>
          <w:rFonts w:asciiTheme="minorEastAsia" w:hAnsiTheme="minorEastAsia"/>
        </w:rPr>
        <w:t>，</w:t>
      </w:r>
      <w:r>
        <w:rPr>
          <w:rFonts w:hint="eastAsia" w:asciiTheme="minorEastAsia" w:hAnsiTheme="minorEastAsia"/>
        </w:rPr>
        <w:t>明确医院建筑设计应满足医疗工艺要求。</w:t>
      </w:r>
      <w:r>
        <w:rPr>
          <w:rFonts w:hint="eastAsia" w:asciiTheme="minorEastAsia" w:hAnsiTheme="minorEastAsia"/>
          <w:bCs/>
          <w:bdr w:val="single" w:color="auto" w:sz="4" w:space="0"/>
        </w:rPr>
        <w:t>医疗工艺设计是根据医院医疗功能需求，对其医疗业务结构、功能、医疗流程和相关技术要求、参数等进行的专业设计。医疗工艺设计分为前期设计和条件设计两个阶段，其设计成果为后续设计提供依据。</w:t>
      </w:r>
    </w:p>
    <w:p w14:paraId="597BA9F1">
      <w:pPr>
        <w:spacing w:after="312" w:afterLines="100"/>
        <w:rPr>
          <w:rFonts w:ascii="宋体" w:hAnsi="宋体" w:eastAsia="宋体" w:cs="黑体"/>
          <w:spacing w:val="-4"/>
          <w:sz w:val="28"/>
          <w:szCs w:val="28"/>
        </w:rPr>
      </w:pPr>
    </w:p>
    <w:p w14:paraId="2BD6140F">
      <w:pPr>
        <w:spacing w:line="1000" w:lineRule="exact"/>
        <w:jc w:val="center"/>
        <w:rPr>
          <w:rFonts w:eastAsia="宋体"/>
          <w:sz w:val="32"/>
          <w:szCs w:val="20"/>
        </w:rPr>
      </w:pPr>
    </w:p>
    <w:p w14:paraId="4ECC545F">
      <w:pPr>
        <w:pageBreakBefore/>
        <w:spacing w:before="100" w:beforeAutospacing="1" w:after="312" w:afterLines="100"/>
        <w:jc w:val="center"/>
        <w:outlineLvl w:val="1"/>
        <w:rPr>
          <w:rFonts w:ascii="宋体" w:hAnsi="宋体" w:eastAsia="宋体" w:cs="黑体"/>
          <w:b/>
          <w:spacing w:val="-4"/>
          <w:sz w:val="32"/>
          <w:szCs w:val="28"/>
        </w:rPr>
      </w:pPr>
      <w:bookmarkStart w:id="63" w:name="_Toc85880713"/>
      <w:bookmarkStart w:id="64" w:name="_Toc85880806"/>
      <w:r>
        <w:rPr>
          <w:rFonts w:hint="eastAsia" w:ascii="宋体" w:hAnsi="宋体" w:eastAsia="宋体" w:cs="黑体"/>
          <w:b/>
          <w:spacing w:val="-4"/>
          <w:sz w:val="32"/>
          <w:szCs w:val="28"/>
        </w:rPr>
        <w:t>2.术语</w:t>
      </w:r>
      <w:r>
        <w:rPr>
          <w:rFonts w:hint="eastAsia" w:ascii="宋体" w:hAnsi="宋体" w:eastAsia="宋体" w:cs="黑体"/>
          <w:b/>
          <w:spacing w:val="-4"/>
          <w:sz w:val="32"/>
          <w:szCs w:val="28"/>
          <w:u w:val="single"/>
        </w:rPr>
        <w:t>和缩略语</w:t>
      </w:r>
      <w:bookmarkEnd w:id="63"/>
      <w:bookmarkEnd w:id="64"/>
    </w:p>
    <w:p w14:paraId="0FCDA0F3">
      <w:pPr>
        <w:spacing w:before="312" w:beforeLines="100"/>
        <w:rPr>
          <w:rFonts w:cs="宋体" w:asciiTheme="minorEastAsia" w:hAnsiTheme="minorEastAsia"/>
          <w:bCs/>
        </w:rPr>
      </w:pPr>
      <w:bookmarkStart w:id="65" w:name="_Toc85880807"/>
      <w:bookmarkStart w:id="66" w:name="_Toc85880714"/>
      <w:r>
        <w:rPr>
          <w:rFonts w:hint="eastAsia" w:cs="宋体" w:asciiTheme="minorEastAsia" w:hAnsiTheme="minorEastAsia"/>
          <w:bCs/>
        </w:rPr>
        <w:t>本章</w:t>
      </w:r>
      <w:r>
        <w:rPr>
          <w:rFonts w:cs="宋体" w:asciiTheme="minorEastAsia" w:hAnsiTheme="minorEastAsia"/>
          <w:bCs/>
        </w:rPr>
        <w:t>条文说明内容无修改。</w:t>
      </w:r>
    </w:p>
    <w:p w14:paraId="5EA434FC">
      <w:pPr>
        <w:pageBreakBefore/>
        <w:spacing w:before="100" w:beforeAutospacing="1" w:after="312" w:afterLines="100"/>
        <w:jc w:val="center"/>
        <w:outlineLvl w:val="1"/>
        <w:rPr>
          <w:rFonts w:ascii="宋体" w:hAnsi="宋体" w:eastAsia="宋体" w:cs="黑体"/>
          <w:b/>
          <w:spacing w:val="-4"/>
          <w:sz w:val="32"/>
          <w:szCs w:val="28"/>
        </w:rPr>
      </w:pPr>
      <w:r>
        <w:rPr>
          <w:rFonts w:hint="eastAsia" w:ascii="宋体" w:hAnsi="宋体" w:eastAsia="宋体" w:cs="黑体"/>
          <w:b/>
          <w:spacing w:val="-4"/>
          <w:sz w:val="32"/>
          <w:szCs w:val="28"/>
        </w:rPr>
        <w:t>3.医疗工艺设计</w:t>
      </w:r>
      <w:bookmarkEnd w:id="65"/>
      <w:bookmarkEnd w:id="66"/>
    </w:p>
    <w:p w14:paraId="5C9195EA">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3.1 一般规定</w:t>
      </w:r>
    </w:p>
    <w:p w14:paraId="58312133">
      <w:pPr>
        <w:spacing w:before="312" w:beforeLines="100"/>
        <w:rPr>
          <w:rFonts w:cs="宋体" w:asciiTheme="minorEastAsia" w:hAnsiTheme="minorEastAsia"/>
          <w:bCs/>
          <w:u w:val="single"/>
        </w:rPr>
      </w:pPr>
      <w:r>
        <w:rPr>
          <w:rFonts w:hint="eastAsia" w:cs="宋体" w:asciiTheme="minorEastAsia" w:hAnsiTheme="minorEastAsia"/>
          <w:bCs/>
          <w:u w:val="single"/>
        </w:rPr>
        <w:t>3.1.1</w:t>
      </w:r>
      <w:r>
        <w:rPr>
          <w:rFonts w:hint="eastAsia" w:cs="宋体" w:asciiTheme="minorEastAsia" w:hAnsiTheme="minorEastAsia"/>
          <w:u w:val="single"/>
        </w:rPr>
        <w:t xml:space="preserve"> </w:t>
      </w:r>
      <w:r>
        <w:rPr>
          <w:rFonts w:hint="eastAsia" w:cs="宋体" w:asciiTheme="minorEastAsia" w:hAnsiTheme="minorEastAsia"/>
          <w:bCs/>
          <w:u w:val="single"/>
        </w:rPr>
        <w:t>学科规划关系医院形成和发展，是医疗工艺设计首要依据，由医院拟定的学科规划应确定医院规模、标准、学科设置、诊疗科目和预定诊疗量，以及临床科研、教学要求，籍此对医疗流程、流程条件、资源配置等进行系统性医疗工艺设计，为建筑设计提供充分依据。</w:t>
      </w:r>
    </w:p>
    <w:p w14:paraId="6FD390A5">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3.1.2 医疗工艺前期设计是可行性研究报告的组成部分，包括医院项目策划、功能规划及医疗流程设计，其设计成果是医疗工艺报告书。医疗工艺条件设计是在前期设计的基础上，采用已完成的建筑方案设计图进行详细的医疗工艺图深化设计过程，并具体明确地提出水、电、空调、医用气体和防护设施等技术条件、技术指标参数，其设计成果是医疗工艺图及技术说明，与建筑初步设计阶段相对应，并为其提供设计依据。根据医疗工艺比较复杂的特点，在此将医疗工艺设计深度归纳为表1，并包括医疗工艺系统说明、医疗任务量计算书、医疗工艺流程设计（一、二级流程）、医疗设备、装备、配置及说明（含技术条件及参数）、医疗用房配置要求（含用房条件）、医疗相关系统配置（医用气体、物流传输系统等）等文件。</w:t>
      </w:r>
    </w:p>
    <w:p w14:paraId="172372D6">
      <w:pPr>
        <w:jc w:val="center"/>
        <w:rPr>
          <w:rFonts w:cs="宋体" w:asciiTheme="minorEastAsia" w:hAnsiTheme="minorEastAsia"/>
          <w:b/>
          <w:bCs/>
          <w:sz w:val="22"/>
          <w:u w:val="single"/>
        </w:rPr>
      </w:pPr>
      <w:r>
        <w:rPr>
          <w:rFonts w:hint="eastAsia" w:asciiTheme="minorEastAsia" w:hAnsiTheme="minorEastAsia"/>
          <w:b/>
          <w:bCs/>
          <w:sz w:val="22"/>
          <w:bdr w:val="single" w:color="auto" w:sz="4" w:space="0"/>
        </w:rPr>
        <w:t>表</w:t>
      </w:r>
      <w:r>
        <w:rPr>
          <w:rFonts w:asciiTheme="minorEastAsia" w:hAnsiTheme="minorEastAsia"/>
          <w:b/>
          <w:bCs/>
          <w:sz w:val="22"/>
          <w:bdr w:val="single" w:color="auto" w:sz="4" w:space="0"/>
        </w:rPr>
        <w:t>1</w:t>
      </w:r>
      <w:r>
        <w:rPr>
          <w:rFonts w:hint="eastAsia" w:asciiTheme="minorEastAsia" w:hAnsiTheme="minorEastAsia"/>
          <w:b/>
          <w:bCs/>
          <w:sz w:val="22"/>
          <w:bdr w:val="single" w:color="auto" w:sz="4" w:space="0"/>
        </w:rPr>
        <w:t xml:space="preserve"> 医疗工艺设计深度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8"/>
        <w:gridCol w:w="4148"/>
      </w:tblGrid>
      <w:tr w14:paraId="3C8B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148" w:type="dxa"/>
            <w:vAlign w:val="center"/>
          </w:tcPr>
          <w:p w14:paraId="45F92B3F">
            <w:pPr>
              <w:spacing w:line="240" w:lineRule="auto"/>
              <w:jc w:val="center"/>
              <w:rPr>
                <w:rFonts w:asciiTheme="minorEastAsia" w:hAnsiTheme="minorEastAsia"/>
                <w:bCs/>
                <w:sz w:val="21"/>
                <w:bdr w:val="single" w:color="auto" w:sz="4" w:space="0"/>
              </w:rPr>
            </w:pPr>
            <w:r>
              <w:rPr>
                <w:rFonts w:hint="eastAsia" w:asciiTheme="minorEastAsia" w:hAnsiTheme="minorEastAsia"/>
                <w:bCs/>
                <w:sz w:val="21"/>
                <w:bdr w:val="single" w:color="auto" w:sz="4" w:space="0"/>
              </w:rPr>
              <w:t>医疗</w:t>
            </w:r>
            <w:r>
              <w:rPr>
                <w:rFonts w:asciiTheme="minorEastAsia" w:hAnsiTheme="minorEastAsia"/>
                <w:bCs/>
                <w:sz w:val="21"/>
                <w:bdr w:val="single" w:color="auto" w:sz="4" w:space="0"/>
              </w:rPr>
              <w:t>工艺前期（</w:t>
            </w:r>
            <w:r>
              <w:rPr>
                <w:rFonts w:hint="eastAsia" w:asciiTheme="minorEastAsia" w:hAnsiTheme="minorEastAsia"/>
                <w:bCs/>
                <w:sz w:val="21"/>
                <w:bdr w:val="single" w:color="auto" w:sz="4" w:space="0"/>
              </w:rPr>
              <w:t>方案</w:t>
            </w:r>
            <w:r>
              <w:rPr>
                <w:rFonts w:asciiTheme="minorEastAsia" w:hAnsiTheme="minorEastAsia"/>
                <w:bCs/>
                <w:sz w:val="21"/>
                <w:bdr w:val="single" w:color="auto" w:sz="4" w:space="0"/>
              </w:rPr>
              <w:t>）</w:t>
            </w:r>
            <w:r>
              <w:rPr>
                <w:rFonts w:hint="eastAsia" w:asciiTheme="minorEastAsia" w:hAnsiTheme="minorEastAsia"/>
                <w:bCs/>
                <w:sz w:val="21"/>
                <w:bdr w:val="single" w:color="auto" w:sz="4" w:space="0"/>
              </w:rPr>
              <w:t>设计</w:t>
            </w:r>
            <w:r>
              <w:rPr>
                <w:rFonts w:asciiTheme="minorEastAsia" w:hAnsiTheme="minorEastAsia"/>
                <w:bCs/>
                <w:sz w:val="21"/>
                <w:bdr w:val="single" w:color="auto" w:sz="4" w:space="0"/>
              </w:rPr>
              <w:t>阶段</w:t>
            </w:r>
          </w:p>
        </w:tc>
        <w:tc>
          <w:tcPr>
            <w:tcW w:w="4148" w:type="dxa"/>
            <w:vAlign w:val="center"/>
          </w:tcPr>
          <w:p w14:paraId="02FCEFE0">
            <w:pPr>
              <w:spacing w:line="240" w:lineRule="auto"/>
              <w:jc w:val="center"/>
              <w:rPr>
                <w:rFonts w:asciiTheme="minorEastAsia" w:hAnsiTheme="minorEastAsia"/>
                <w:bCs/>
                <w:sz w:val="21"/>
                <w:bdr w:val="single" w:color="auto" w:sz="4" w:space="0"/>
              </w:rPr>
            </w:pPr>
            <w:r>
              <w:rPr>
                <w:rFonts w:hint="eastAsia" w:asciiTheme="minorEastAsia" w:hAnsiTheme="minorEastAsia"/>
                <w:bCs/>
                <w:sz w:val="21"/>
                <w:bdr w:val="single" w:color="auto" w:sz="4" w:space="0"/>
              </w:rPr>
              <w:t>医疗</w:t>
            </w:r>
            <w:r>
              <w:rPr>
                <w:rFonts w:asciiTheme="minorEastAsia" w:hAnsiTheme="minorEastAsia"/>
                <w:bCs/>
                <w:sz w:val="21"/>
                <w:bdr w:val="single" w:color="auto" w:sz="4" w:space="0"/>
              </w:rPr>
              <w:t>工艺条件设计阶段</w:t>
            </w:r>
          </w:p>
        </w:tc>
      </w:tr>
      <w:tr w14:paraId="03A5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148" w:type="dxa"/>
            <w:vAlign w:val="center"/>
          </w:tcPr>
          <w:p w14:paraId="3D4A4CF3">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①医院</w:t>
            </w:r>
            <w:r>
              <w:rPr>
                <w:rFonts w:asciiTheme="minorEastAsia" w:hAnsiTheme="minorEastAsia"/>
                <w:bCs/>
                <w:sz w:val="21"/>
                <w:bdr w:val="single" w:color="auto" w:sz="4" w:space="0"/>
              </w:rPr>
              <w:t>性质及医疗任务量</w:t>
            </w:r>
          </w:p>
          <w:p w14:paraId="6676E3DC">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②医疗</w:t>
            </w:r>
            <w:r>
              <w:rPr>
                <w:rFonts w:asciiTheme="minorEastAsia" w:hAnsiTheme="minorEastAsia"/>
                <w:bCs/>
                <w:sz w:val="21"/>
                <w:bdr w:val="single" w:color="auto" w:sz="4" w:space="0"/>
              </w:rPr>
              <w:t>结构设计</w:t>
            </w:r>
          </w:p>
          <w:p w14:paraId="7A106A1A">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③医疗</w:t>
            </w:r>
            <w:r>
              <w:rPr>
                <w:rFonts w:asciiTheme="minorEastAsia" w:hAnsiTheme="minorEastAsia"/>
                <w:bCs/>
                <w:sz w:val="21"/>
                <w:bdr w:val="single" w:color="auto" w:sz="4" w:space="0"/>
              </w:rPr>
              <w:t>功能单元设置与任务量设计</w:t>
            </w:r>
          </w:p>
          <w:p w14:paraId="62C358F6">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④一级</w:t>
            </w:r>
            <w:r>
              <w:rPr>
                <w:rFonts w:asciiTheme="minorEastAsia" w:hAnsiTheme="minorEastAsia"/>
                <w:bCs/>
                <w:sz w:val="21"/>
                <w:bdr w:val="single" w:color="auto" w:sz="4" w:space="0"/>
              </w:rPr>
              <w:t>医疗工艺流程设计</w:t>
            </w:r>
          </w:p>
          <w:p w14:paraId="7B38B665">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⑤医疗</w:t>
            </w:r>
            <w:r>
              <w:rPr>
                <w:rFonts w:asciiTheme="minorEastAsia" w:hAnsiTheme="minorEastAsia"/>
                <w:bCs/>
                <w:sz w:val="21"/>
                <w:bdr w:val="single" w:color="auto" w:sz="4" w:space="0"/>
              </w:rPr>
              <w:t>设备配置计划</w:t>
            </w:r>
          </w:p>
          <w:p w14:paraId="49BA4983">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⑥医疗</w:t>
            </w:r>
            <w:r>
              <w:rPr>
                <w:rFonts w:asciiTheme="minorEastAsia" w:hAnsiTheme="minorEastAsia"/>
                <w:bCs/>
                <w:sz w:val="21"/>
                <w:bdr w:val="single" w:color="auto" w:sz="4" w:space="0"/>
              </w:rPr>
              <w:t>装备配置计划</w:t>
            </w:r>
          </w:p>
          <w:p w14:paraId="0AA2F425">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⑦医疗</w:t>
            </w:r>
            <w:r>
              <w:rPr>
                <w:rFonts w:asciiTheme="minorEastAsia" w:hAnsiTheme="minorEastAsia"/>
                <w:bCs/>
                <w:sz w:val="21"/>
                <w:bdr w:val="single" w:color="auto" w:sz="4" w:space="0"/>
              </w:rPr>
              <w:t>用房配置要求</w:t>
            </w:r>
          </w:p>
        </w:tc>
        <w:tc>
          <w:tcPr>
            <w:tcW w:w="4148" w:type="dxa"/>
            <w:vAlign w:val="center"/>
          </w:tcPr>
          <w:p w14:paraId="287CE2D8">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①医疗</w:t>
            </w:r>
            <w:r>
              <w:rPr>
                <w:rFonts w:asciiTheme="minorEastAsia" w:hAnsiTheme="minorEastAsia"/>
                <w:bCs/>
                <w:sz w:val="21"/>
                <w:bdr w:val="single" w:color="auto" w:sz="4" w:space="0"/>
              </w:rPr>
              <w:t>任务量细化设定（</w:t>
            </w:r>
            <w:r>
              <w:rPr>
                <w:rFonts w:hint="eastAsia" w:asciiTheme="minorEastAsia" w:hAnsiTheme="minorEastAsia"/>
                <w:bCs/>
                <w:sz w:val="21"/>
                <w:bdr w:val="single" w:color="auto" w:sz="4" w:space="0"/>
              </w:rPr>
              <w:t>门诊</w:t>
            </w:r>
            <w:r>
              <w:rPr>
                <w:rFonts w:asciiTheme="minorEastAsia" w:hAnsiTheme="minorEastAsia"/>
                <w:bCs/>
                <w:sz w:val="21"/>
                <w:bdr w:val="single" w:color="auto" w:sz="4" w:space="0"/>
              </w:rPr>
              <w:t>、住院、手术等）</w:t>
            </w:r>
          </w:p>
          <w:p w14:paraId="5A17432C">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②医疗</w:t>
            </w:r>
            <w:r>
              <w:rPr>
                <w:rFonts w:asciiTheme="minorEastAsia" w:hAnsiTheme="minorEastAsia"/>
                <w:bCs/>
                <w:sz w:val="21"/>
                <w:bdr w:val="single" w:color="auto" w:sz="4" w:space="0"/>
              </w:rPr>
              <w:t>结构与功能设计</w:t>
            </w:r>
          </w:p>
          <w:p w14:paraId="4978CC7F">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③医疗</w:t>
            </w:r>
            <w:r>
              <w:rPr>
                <w:rFonts w:asciiTheme="minorEastAsia" w:hAnsiTheme="minorEastAsia"/>
                <w:bCs/>
                <w:sz w:val="21"/>
                <w:bdr w:val="single" w:color="auto" w:sz="4" w:space="0"/>
              </w:rPr>
              <w:t>功能单元设置与任务量优化设计</w:t>
            </w:r>
          </w:p>
          <w:p w14:paraId="3A49F1FD">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④一级</w:t>
            </w:r>
            <w:r>
              <w:rPr>
                <w:rFonts w:asciiTheme="minorEastAsia" w:hAnsiTheme="minorEastAsia"/>
                <w:bCs/>
                <w:sz w:val="21"/>
                <w:bdr w:val="single" w:color="auto" w:sz="4" w:space="0"/>
              </w:rPr>
              <w:t>医疗工艺流程优化设计</w:t>
            </w:r>
          </w:p>
          <w:p w14:paraId="41D5462F">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⑤二级</w:t>
            </w:r>
            <w:r>
              <w:rPr>
                <w:rFonts w:asciiTheme="minorEastAsia" w:hAnsiTheme="minorEastAsia"/>
                <w:bCs/>
                <w:sz w:val="21"/>
                <w:bdr w:val="single" w:color="auto" w:sz="4" w:space="0"/>
              </w:rPr>
              <w:t>医疗工艺流程设计</w:t>
            </w:r>
          </w:p>
          <w:p w14:paraId="2DF259A9">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⑥医疗</w:t>
            </w:r>
            <w:r>
              <w:rPr>
                <w:rFonts w:asciiTheme="minorEastAsia" w:hAnsiTheme="minorEastAsia"/>
                <w:bCs/>
                <w:sz w:val="21"/>
                <w:bdr w:val="single" w:color="auto" w:sz="4" w:space="0"/>
              </w:rPr>
              <w:t>设备配置标准及设备选型、技术规格、设备所需水、电、</w:t>
            </w:r>
            <w:r>
              <w:rPr>
                <w:rFonts w:hint="eastAsia" w:asciiTheme="minorEastAsia" w:hAnsiTheme="minorEastAsia"/>
                <w:bCs/>
                <w:sz w:val="21"/>
                <w:bdr w:val="single" w:color="auto" w:sz="4" w:space="0"/>
              </w:rPr>
              <w:t>空调</w:t>
            </w:r>
            <w:r>
              <w:rPr>
                <w:rFonts w:asciiTheme="minorEastAsia" w:hAnsiTheme="minorEastAsia"/>
                <w:bCs/>
                <w:sz w:val="21"/>
                <w:bdr w:val="single" w:color="auto" w:sz="4" w:space="0"/>
              </w:rPr>
              <w:t>等条件要求</w:t>
            </w:r>
          </w:p>
          <w:p w14:paraId="4566610A">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⑦医疗</w:t>
            </w:r>
            <w:r>
              <w:rPr>
                <w:rFonts w:asciiTheme="minorEastAsia" w:hAnsiTheme="minorEastAsia"/>
                <w:bCs/>
                <w:sz w:val="21"/>
                <w:bdr w:val="single" w:color="auto" w:sz="4" w:space="0"/>
              </w:rPr>
              <w:t>装备配置标准、</w:t>
            </w:r>
            <w:r>
              <w:rPr>
                <w:rFonts w:hint="eastAsia" w:asciiTheme="minorEastAsia" w:hAnsiTheme="minorEastAsia"/>
                <w:bCs/>
                <w:sz w:val="21"/>
                <w:bdr w:val="single" w:color="auto" w:sz="4" w:space="0"/>
              </w:rPr>
              <w:t>种类</w:t>
            </w:r>
            <w:r>
              <w:rPr>
                <w:rFonts w:asciiTheme="minorEastAsia" w:hAnsiTheme="minorEastAsia"/>
                <w:bCs/>
                <w:sz w:val="21"/>
                <w:bdr w:val="single" w:color="auto" w:sz="4" w:space="0"/>
              </w:rPr>
              <w:t>、规格等参数</w:t>
            </w:r>
          </w:p>
        </w:tc>
      </w:tr>
      <w:tr w14:paraId="02B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148" w:type="dxa"/>
            <w:vAlign w:val="center"/>
          </w:tcPr>
          <w:p w14:paraId="0461DC6C">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⑧医疗</w:t>
            </w:r>
            <w:r>
              <w:rPr>
                <w:rFonts w:asciiTheme="minorEastAsia" w:hAnsiTheme="minorEastAsia"/>
                <w:bCs/>
                <w:sz w:val="21"/>
                <w:bdr w:val="single" w:color="auto" w:sz="4" w:space="0"/>
              </w:rPr>
              <w:t>工艺相关专业设计方案（</w:t>
            </w:r>
            <w:r>
              <w:rPr>
                <w:rFonts w:hint="eastAsia" w:asciiTheme="minorEastAsia" w:hAnsiTheme="minorEastAsia"/>
                <w:bCs/>
                <w:sz w:val="21"/>
                <w:bdr w:val="single" w:color="auto" w:sz="4" w:space="0"/>
              </w:rPr>
              <w:t>水</w:t>
            </w:r>
            <w:r>
              <w:rPr>
                <w:rFonts w:asciiTheme="minorEastAsia" w:hAnsiTheme="minorEastAsia"/>
                <w:bCs/>
                <w:sz w:val="21"/>
                <w:bdr w:val="single" w:color="auto" w:sz="4" w:space="0"/>
              </w:rPr>
              <w:t>、电、</w:t>
            </w:r>
            <w:r>
              <w:rPr>
                <w:rFonts w:hint="eastAsia" w:asciiTheme="minorEastAsia" w:hAnsiTheme="minorEastAsia"/>
                <w:bCs/>
                <w:sz w:val="21"/>
                <w:bdr w:val="single" w:color="auto" w:sz="4" w:space="0"/>
              </w:rPr>
              <w:t>医用</w:t>
            </w:r>
            <w:r>
              <w:rPr>
                <w:rFonts w:asciiTheme="minorEastAsia" w:hAnsiTheme="minorEastAsia"/>
                <w:bCs/>
                <w:sz w:val="21"/>
                <w:bdr w:val="single" w:color="auto" w:sz="4" w:space="0"/>
              </w:rPr>
              <w:t>气源、净化</w:t>
            </w:r>
            <w:r>
              <w:rPr>
                <w:rFonts w:hint="eastAsia" w:asciiTheme="minorEastAsia" w:hAnsiTheme="minorEastAsia"/>
                <w:bCs/>
                <w:sz w:val="21"/>
                <w:bdr w:val="single" w:color="auto" w:sz="4" w:space="0"/>
              </w:rPr>
              <w:t>等</w:t>
            </w:r>
            <w:r>
              <w:rPr>
                <w:rFonts w:asciiTheme="minorEastAsia" w:hAnsiTheme="minorEastAsia"/>
                <w:bCs/>
                <w:sz w:val="21"/>
                <w:bdr w:val="single" w:color="auto" w:sz="4" w:space="0"/>
              </w:rPr>
              <w:t>）</w:t>
            </w:r>
          </w:p>
          <w:p w14:paraId="3951DCF2">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⑨医疗</w:t>
            </w:r>
            <w:r>
              <w:rPr>
                <w:rFonts w:asciiTheme="minorEastAsia" w:hAnsiTheme="minorEastAsia"/>
                <w:bCs/>
                <w:sz w:val="21"/>
                <w:bdr w:val="single" w:color="auto" w:sz="4" w:space="0"/>
              </w:rPr>
              <w:t>物流</w:t>
            </w:r>
            <w:r>
              <w:rPr>
                <w:rFonts w:hint="eastAsia" w:asciiTheme="minorEastAsia" w:hAnsiTheme="minorEastAsia"/>
                <w:bCs/>
                <w:sz w:val="21"/>
                <w:bdr w:val="single" w:color="auto" w:sz="4" w:space="0"/>
              </w:rPr>
              <w:t>的</w:t>
            </w:r>
            <w:r>
              <w:rPr>
                <w:rFonts w:asciiTheme="minorEastAsia" w:hAnsiTheme="minorEastAsia"/>
                <w:bCs/>
                <w:sz w:val="21"/>
                <w:bdr w:val="single" w:color="auto" w:sz="4" w:space="0"/>
              </w:rPr>
              <w:t>要求</w:t>
            </w:r>
          </w:p>
          <w:p w14:paraId="14961538">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⑩信息流</w:t>
            </w:r>
          </w:p>
          <w:p w14:paraId="5CB8CEFF">
            <w:pPr>
              <w:spacing w:line="240" w:lineRule="auto"/>
              <w:ind w:firstLine="420" w:firstLineChars="200"/>
              <w:jc w:val="left"/>
              <w:rPr>
                <w:rFonts w:asciiTheme="minorEastAsia" w:hAnsiTheme="minorEastAsia"/>
                <w:bCs/>
                <w:sz w:val="21"/>
                <w:bdr w:val="single" w:color="auto" w:sz="4" w:space="0"/>
              </w:rPr>
            </w:pPr>
            <w:r>
              <w:rPr>
                <w:rFonts w:ascii="Cambria Math" w:hAnsi="Cambria Math" w:cs="Cambria Math"/>
                <w:bCs/>
                <w:sz w:val="21"/>
                <w:bdr w:val="single" w:color="auto" w:sz="4" w:space="0"/>
              </w:rPr>
              <w:t>⑪</w:t>
            </w:r>
            <w:r>
              <w:rPr>
                <w:rFonts w:hint="eastAsia" w:asciiTheme="minorEastAsia" w:hAnsiTheme="minorEastAsia"/>
                <w:bCs/>
                <w:sz w:val="21"/>
                <w:bdr w:val="single" w:color="auto" w:sz="4" w:space="0"/>
              </w:rPr>
              <w:t>初步</w:t>
            </w:r>
            <w:r>
              <w:rPr>
                <w:rFonts w:asciiTheme="minorEastAsia" w:hAnsiTheme="minorEastAsia"/>
                <w:bCs/>
                <w:sz w:val="21"/>
                <w:bdr w:val="single" w:color="auto" w:sz="4" w:space="0"/>
              </w:rPr>
              <w:t>分析、评价</w:t>
            </w:r>
          </w:p>
        </w:tc>
        <w:tc>
          <w:tcPr>
            <w:tcW w:w="4148" w:type="dxa"/>
            <w:vAlign w:val="center"/>
          </w:tcPr>
          <w:p w14:paraId="38E9FBAE">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⑧医疗</w:t>
            </w:r>
            <w:r>
              <w:rPr>
                <w:rFonts w:asciiTheme="minorEastAsia" w:hAnsiTheme="minorEastAsia"/>
                <w:bCs/>
                <w:sz w:val="21"/>
                <w:bdr w:val="single" w:color="auto" w:sz="4" w:space="0"/>
              </w:rPr>
              <w:t>用房配置要求及</w:t>
            </w:r>
            <w:r>
              <w:rPr>
                <w:rFonts w:hint="eastAsia" w:asciiTheme="minorEastAsia" w:hAnsiTheme="minorEastAsia"/>
                <w:bCs/>
                <w:sz w:val="21"/>
                <w:bdr w:val="single" w:color="auto" w:sz="4" w:space="0"/>
              </w:rPr>
              <w:t>房间</w:t>
            </w:r>
            <w:r>
              <w:rPr>
                <w:rFonts w:asciiTheme="minorEastAsia" w:hAnsiTheme="minorEastAsia"/>
                <w:bCs/>
                <w:sz w:val="21"/>
                <w:bdr w:val="single" w:color="auto" w:sz="4" w:space="0"/>
              </w:rPr>
              <w:t>条件要求</w:t>
            </w:r>
          </w:p>
          <w:p w14:paraId="03692366">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⑨医疗</w:t>
            </w:r>
            <w:r>
              <w:rPr>
                <w:rFonts w:asciiTheme="minorEastAsia" w:hAnsiTheme="minorEastAsia"/>
                <w:bCs/>
                <w:sz w:val="21"/>
                <w:bdr w:val="single" w:color="auto" w:sz="4" w:space="0"/>
              </w:rPr>
              <w:t>工艺相关专业配置标准及技术参数</w:t>
            </w:r>
          </w:p>
          <w:p w14:paraId="737FA3B8">
            <w:pPr>
              <w:spacing w:line="240" w:lineRule="auto"/>
              <w:ind w:firstLine="420" w:firstLineChars="200"/>
              <w:jc w:val="left"/>
              <w:rPr>
                <w:rFonts w:asciiTheme="minorEastAsia" w:hAnsiTheme="minorEastAsia"/>
                <w:bCs/>
                <w:sz w:val="21"/>
                <w:bdr w:val="single" w:color="auto" w:sz="4" w:space="0"/>
              </w:rPr>
            </w:pPr>
            <w:r>
              <w:rPr>
                <w:rFonts w:hint="eastAsia" w:asciiTheme="minorEastAsia" w:hAnsiTheme="minorEastAsia"/>
                <w:bCs/>
                <w:sz w:val="21"/>
                <w:bdr w:val="single" w:color="auto" w:sz="4" w:space="0"/>
              </w:rPr>
              <w:t>⑩综合</w:t>
            </w:r>
            <w:r>
              <w:rPr>
                <w:rFonts w:asciiTheme="minorEastAsia" w:hAnsiTheme="minorEastAsia"/>
                <w:bCs/>
                <w:sz w:val="21"/>
                <w:bdr w:val="single" w:color="auto" w:sz="4" w:space="0"/>
              </w:rPr>
              <w:t>分析、结论</w:t>
            </w:r>
          </w:p>
        </w:tc>
      </w:tr>
    </w:tbl>
    <w:p w14:paraId="2260F218">
      <w:pPr>
        <w:spacing w:before="312" w:beforeLines="100"/>
        <w:rPr>
          <w:rFonts w:cs="宋体" w:asciiTheme="minorEastAsia" w:hAnsiTheme="minorEastAsia"/>
          <w:bCs/>
          <w:u w:val="single"/>
        </w:rPr>
      </w:pPr>
      <w:r>
        <w:rPr>
          <w:rFonts w:hint="eastAsia" w:cs="宋体" w:asciiTheme="minorEastAsia" w:hAnsiTheme="minorEastAsia"/>
          <w:bCs/>
          <w:u w:val="single"/>
        </w:rPr>
        <w:t>3.1.2 医疗功能单元（简称科）是医院基本单位，具有行政管理与独立专业可自成一体的双重属性。</w:t>
      </w:r>
    </w:p>
    <w:p w14:paraId="7C3448C6">
      <w:pPr>
        <w:ind w:firstLine="480" w:firstLineChars="200"/>
        <w:rPr>
          <w:rFonts w:cs="宋体" w:asciiTheme="minorEastAsia" w:hAnsiTheme="minorEastAsia"/>
          <w:bCs/>
          <w:u w:val="single"/>
        </w:rPr>
      </w:pPr>
      <w:r>
        <w:rPr>
          <w:rFonts w:hint="eastAsia" w:cs="宋体" w:asciiTheme="minorEastAsia" w:hAnsiTheme="minorEastAsia"/>
          <w:bCs/>
          <w:u w:val="single"/>
        </w:rPr>
        <w:t>医疗功能单元按医疗服务不同划为四类（见表3.1.2），其中临床科室与医技科室的区分原则是“以治疗为主的科室为临床科室；以诊断为主及特定专业保障的科室（如消毒供应中心）为医技科室”，据此避免以往常将DSA介入、直线加速器放疗划归到医技科室的问题。</w:t>
      </w:r>
    </w:p>
    <w:p w14:paraId="7CD8CDC2">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3.1.3 医疗工艺流程是以患者为主体，以各项医疗、护理活动过程为基点，进行科学合理的分工和程序设计。</w:t>
      </w:r>
    </w:p>
    <w:p w14:paraId="245A992B">
      <w:pPr>
        <w:ind w:firstLine="480" w:firstLineChars="200"/>
        <w:rPr>
          <w:rFonts w:asciiTheme="minorEastAsia" w:hAnsiTheme="minorEastAsia"/>
          <w:bCs/>
          <w:bdr w:val="single" w:color="auto" w:sz="4" w:space="0"/>
        </w:rPr>
      </w:pPr>
      <w:r>
        <w:rPr>
          <w:rFonts w:hint="eastAsia" w:asciiTheme="minorEastAsia" w:hAnsiTheme="minorEastAsia"/>
          <w:bCs/>
          <w:bdr w:val="single" w:color="auto" w:sz="4" w:space="0"/>
        </w:rPr>
        <w:t>本规范强调医疗工艺流程分为两级，各医疗功能单元间为一级，各医疗功能单元内为二级。这样划分表达清楚，便于理解，比较符合医疗流程的内在规律。</w:t>
      </w:r>
    </w:p>
    <w:p w14:paraId="42B2CCAE">
      <w:pPr>
        <w:rPr>
          <w:rFonts w:cs="宋体" w:asciiTheme="minorEastAsia" w:hAnsiTheme="minorEastAsia"/>
          <w:bCs/>
          <w:u w:val="single"/>
        </w:rPr>
      </w:pPr>
      <w:r>
        <w:rPr>
          <w:rFonts w:hint="eastAsia" w:cs="宋体" w:asciiTheme="minorEastAsia" w:hAnsiTheme="minorEastAsia"/>
          <w:bCs/>
          <w:u w:val="single"/>
        </w:rPr>
        <w:t>3.1.3</w:t>
      </w:r>
      <w:r>
        <w:rPr>
          <w:rFonts w:hint="eastAsia" w:cs="宋体" w:asciiTheme="minorEastAsia" w:hAnsiTheme="minorEastAsia"/>
          <w:b/>
          <w:u w:val="single"/>
        </w:rPr>
        <w:t xml:space="preserve"> </w:t>
      </w:r>
      <w:r>
        <w:rPr>
          <w:rFonts w:hint="eastAsia" w:cs="宋体" w:asciiTheme="minorEastAsia" w:hAnsiTheme="minorEastAsia"/>
          <w:bCs/>
          <w:u w:val="single"/>
        </w:rPr>
        <w:t>医院作为多学科、多专业复杂的开放系统，科与科的协同配合，各科内部诊疗程序和医疗行为各不相同，各科配备的各种功能用房其室内操作规程亦各不相同。由此，将医疗流程按科与科、科内、室间分为连贯的三级流程，形成系统，实现医院医疗功能。医疗流程是医院基本功能流程，人流、物流、信息流应服从并服务于医疗流程，避免主次不分的概念混淆。</w:t>
      </w:r>
    </w:p>
    <w:p w14:paraId="606302AE">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3.1.4 医疗功能单元是指具有独立专业与专业分工的各类科室。由于各医院规模、标准、专业重点不同，医疗分科情况也不尽相同，一般是医院规模愈大，等级愈高，分科愈细。本规范对医院各医疗功能单元的分类以功能属性划分。门诊部、急诊部因其对外应诊和内部功能繁杂，自成体系，故将其归为门急诊类；医院服务日益重视防病和亚健康管理工作，并具有很大的发展趋势，故将体检、团检、亚健康管理归为健康管理类；凡以治疗为主的科室列为临床科室类；凡以诊断为主及诊断治疗兼有，但偏重诊断的科室列为医技科室类。本规范这一分类方法与以建筑体物理分割的分类方法不属同一概念。</w:t>
      </w:r>
    </w:p>
    <w:p w14:paraId="516AB463">
      <w:pPr>
        <w:spacing w:before="312" w:beforeLines="100"/>
        <w:rPr>
          <w:rFonts w:cs="宋体" w:asciiTheme="minorEastAsia" w:hAnsiTheme="minorEastAsia"/>
          <w:b/>
          <w:sz w:val="28"/>
          <w:szCs w:val="28"/>
        </w:rPr>
      </w:pPr>
      <w:r>
        <w:rPr>
          <w:rFonts w:hint="eastAsia" w:cs="宋体" w:asciiTheme="minorEastAsia" w:hAnsiTheme="minorEastAsia"/>
          <w:bCs/>
          <w:u w:val="single"/>
        </w:rPr>
        <w:t>3.1.5</w:t>
      </w:r>
      <w:r>
        <w:rPr>
          <w:rFonts w:hint="eastAsia" w:cs="宋体" w:asciiTheme="minorEastAsia" w:hAnsiTheme="minorEastAsia"/>
          <w:b/>
          <w:u w:val="single"/>
        </w:rPr>
        <w:t xml:space="preserve"> </w:t>
      </w:r>
      <w:r>
        <w:rPr>
          <w:rFonts w:hint="eastAsia" w:cs="宋体" w:asciiTheme="minorEastAsia" w:hAnsiTheme="minorEastAsia"/>
          <w:bCs/>
          <w:u w:val="single"/>
        </w:rPr>
        <w:t>医疗工艺设计伴随建筑各阶段设计，建筑平面功能性评估、评审应在建筑方案设计阶段完成，宜采用一、二级医疗流程一同评审方式。核准各科室选址，功能分区、布局，各科用房组成及面积分配等，由此基本定型建筑平面。建筑初步设计阶段要求全专业（包括医用专项）设计应达到初步设计深度，并经初步设计评审后进入施工图设计。</w:t>
      </w:r>
    </w:p>
    <w:p w14:paraId="05971861">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3.2 医疗工艺设计参数</w:t>
      </w:r>
    </w:p>
    <w:p w14:paraId="108EEF9F">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3.2.1～3.2.3 这几条为医院主要诊断治疗项目任务计算和各科门诊、住院比例计算的基础指标，可以此为依据，并根据各医院实际情况加以确认。具体操作可以医院编制可研时间为截止日期，取医院统计数据为研究依据，综合考虑辖区内中长期社会经济发展规划，确定医院的规模、分科比例等所有的指标。</w:t>
      </w:r>
    </w:p>
    <w:p w14:paraId="568B6AF2">
      <w:pPr>
        <w:rPr>
          <w:rFonts w:cs="黑体" w:asciiTheme="minorEastAsia" w:hAnsiTheme="minorEastAsia"/>
          <w:spacing w:val="-4"/>
          <w:sz w:val="28"/>
          <w:szCs w:val="28"/>
        </w:rPr>
      </w:pPr>
      <w:r>
        <w:rPr>
          <w:rFonts w:hint="eastAsia" w:cs="宋体" w:asciiTheme="minorEastAsia" w:hAnsiTheme="minorEastAsia"/>
          <w:bCs/>
          <w:u w:val="single"/>
        </w:rPr>
        <w:t>3.2.1 医疗工艺设计参数中诊疗量参数采用两种办法测算医疗功能主要用房空间：一种为已有历年统计数据测算方法；另一种是无数据测算方法，此测算数据来源于93家综合医院五年度调研成果统计，表内相关数据可参照执行。诊疗量参数力求建立测算方法，有待数据积累精准。</w:t>
      </w:r>
    </w:p>
    <w:p w14:paraId="3D92AAFE">
      <w:pPr>
        <w:spacing w:before="312" w:beforeLines="100"/>
        <w:rPr>
          <w:rFonts w:cs="宋体" w:asciiTheme="minorEastAsia" w:hAnsiTheme="minorEastAsia"/>
          <w:bCs/>
          <w:u w:val="single"/>
        </w:rPr>
      </w:pPr>
      <w:r>
        <w:rPr>
          <w:rFonts w:hint="eastAsia" w:cs="宋体" w:asciiTheme="minorEastAsia" w:hAnsiTheme="minorEastAsia"/>
          <w:bCs/>
          <w:u w:val="single"/>
        </w:rPr>
        <w:t>3.2.2（1） 表3.2.1-1各分科日门诊占比表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4609"/>
      </w:tblGrid>
      <w:tr w14:paraId="3DA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3EB6AD6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科别</w:t>
            </w:r>
          </w:p>
        </w:tc>
        <w:tc>
          <w:tcPr>
            <w:tcW w:w="4609" w:type="dxa"/>
            <w:vAlign w:val="center"/>
          </w:tcPr>
          <w:p w14:paraId="0126840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占门诊总量比率(％)</w:t>
            </w:r>
          </w:p>
        </w:tc>
      </w:tr>
      <w:tr w14:paraId="3C16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362D939E">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内科</w:t>
            </w:r>
          </w:p>
        </w:tc>
        <w:tc>
          <w:tcPr>
            <w:tcW w:w="4609" w:type="dxa"/>
            <w:vAlign w:val="center"/>
          </w:tcPr>
          <w:p w14:paraId="0D84D61D">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28</w:t>
            </w:r>
          </w:p>
        </w:tc>
      </w:tr>
      <w:tr w14:paraId="6D8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530872F9">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外科</w:t>
            </w:r>
          </w:p>
        </w:tc>
        <w:tc>
          <w:tcPr>
            <w:tcW w:w="4609" w:type="dxa"/>
            <w:vAlign w:val="center"/>
          </w:tcPr>
          <w:p w14:paraId="062FA981">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25</w:t>
            </w:r>
          </w:p>
        </w:tc>
      </w:tr>
      <w:tr w14:paraId="752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5A37279A">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妇科</w:t>
            </w:r>
          </w:p>
        </w:tc>
        <w:tc>
          <w:tcPr>
            <w:tcW w:w="4609" w:type="dxa"/>
            <w:vAlign w:val="center"/>
          </w:tcPr>
          <w:p w14:paraId="10F72A7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15</w:t>
            </w:r>
          </w:p>
        </w:tc>
      </w:tr>
      <w:tr w14:paraId="56F1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290405E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产科</w:t>
            </w:r>
          </w:p>
        </w:tc>
        <w:tc>
          <w:tcPr>
            <w:tcW w:w="4609" w:type="dxa"/>
            <w:vAlign w:val="center"/>
          </w:tcPr>
          <w:p w14:paraId="1A62AF75">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3</w:t>
            </w:r>
          </w:p>
        </w:tc>
      </w:tr>
      <w:tr w14:paraId="4D6F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167B9AE6">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儿科</w:t>
            </w:r>
          </w:p>
        </w:tc>
        <w:tc>
          <w:tcPr>
            <w:tcW w:w="4609" w:type="dxa"/>
            <w:vAlign w:val="center"/>
          </w:tcPr>
          <w:p w14:paraId="1EF2388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8</w:t>
            </w:r>
          </w:p>
        </w:tc>
      </w:tr>
      <w:tr w14:paraId="3340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49460E07">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耳鼻喉科、眼科</w:t>
            </w:r>
          </w:p>
        </w:tc>
        <w:tc>
          <w:tcPr>
            <w:tcW w:w="4609" w:type="dxa"/>
            <w:vAlign w:val="center"/>
          </w:tcPr>
          <w:p w14:paraId="1F95072D">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10</w:t>
            </w:r>
          </w:p>
        </w:tc>
      </w:tr>
      <w:tr w14:paraId="023A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5EDCA01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中医</w:t>
            </w:r>
          </w:p>
        </w:tc>
        <w:tc>
          <w:tcPr>
            <w:tcW w:w="4609" w:type="dxa"/>
            <w:vAlign w:val="center"/>
          </w:tcPr>
          <w:p w14:paraId="50F5D6B6">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5</w:t>
            </w:r>
          </w:p>
        </w:tc>
      </w:tr>
      <w:tr w14:paraId="06DC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vAlign w:val="center"/>
          </w:tcPr>
          <w:p w14:paraId="29C3364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其他</w:t>
            </w:r>
          </w:p>
        </w:tc>
        <w:tc>
          <w:tcPr>
            <w:tcW w:w="4609" w:type="dxa"/>
            <w:vAlign w:val="center"/>
          </w:tcPr>
          <w:p w14:paraId="4105640F">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6</w:t>
            </w:r>
          </w:p>
        </w:tc>
      </w:tr>
    </w:tbl>
    <w:p w14:paraId="5375E93E">
      <w:pPr>
        <w:spacing w:before="312" w:beforeLines="100"/>
        <w:rPr>
          <w:rFonts w:cs="宋体" w:asciiTheme="minorEastAsia" w:hAnsiTheme="minorEastAsia"/>
          <w:bCs/>
          <w:u w:val="single"/>
        </w:rPr>
      </w:pPr>
      <w:r>
        <w:rPr>
          <w:rFonts w:hint="eastAsia" w:cs="宋体" w:asciiTheme="minorEastAsia" w:hAnsiTheme="minorEastAsia"/>
          <w:bCs/>
          <w:u w:val="single"/>
        </w:rPr>
        <w:t>3.2.2（3） 表3.2.1-2放射科诊疗量参数表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362"/>
        <w:gridCol w:w="2228"/>
        <w:gridCol w:w="1732"/>
      </w:tblGrid>
      <w:tr w14:paraId="0E41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6D81C16B">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科别</w:t>
            </w:r>
          </w:p>
        </w:tc>
        <w:tc>
          <w:tcPr>
            <w:tcW w:w="1362" w:type="dxa"/>
            <w:vAlign w:val="center"/>
          </w:tcPr>
          <w:p w14:paraId="25E6142B">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基数占比*</w:t>
            </w:r>
          </w:p>
        </w:tc>
        <w:tc>
          <w:tcPr>
            <w:tcW w:w="2228" w:type="dxa"/>
            <w:vAlign w:val="center"/>
          </w:tcPr>
          <w:p w14:paraId="06A0777D">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日检病人分项占比</w:t>
            </w:r>
          </w:p>
        </w:tc>
        <w:tc>
          <w:tcPr>
            <w:tcW w:w="1732" w:type="dxa"/>
            <w:vAlign w:val="center"/>
          </w:tcPr>
          <w:p w14:paraId="55149CEC">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单机日检定额</w:t>
            </w:r>
          </w:p>
          <w:p w14:paraId="12D4F18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（例/日）</w:t>
            </w:r>
          </w:p>
        </w:tc>
      </w:tr>
      <w:tr w14:paraId="47F7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13D4B1F5">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放射科日检病人量</w:t>
            </w:r>
          </w:p>
        </w:tc>
        <w:tc>
          <w:tcPr>
            <w:tcW w:w="1362" w:type="dxa"/>
            <w:vAlign w:val="center"/>
          </w:tcPr>
          <w:p w14:paraId="61BBCB2F">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14%</w:t>
            </w:r>
          </w:p>
        </w:tc>
        <w:tc>
          <w:tcPr>
            <w:tcW w:w="2228" w:type="dxa"/>
            <w:vAlign w:val="center"/>
          </w:tcPr>
          <w:p w14:paraId="7C6EB957">
            <w:pPr>
              <w:spacing w:line="240" w:lineRule="auto"/>
              <w:jc w:val="center"/>
              <w:rPr>
                <w:rFonts w:cs="宋体" w:asciiTheme="minorEastAsia" w:hAnsiTheme="minorEastAsia"/>
                <w:kern w:val="0"/>
                <w:sz w:val="22"/>
                <w:szCs w:val="22"/>
                <w:u w:val="single"/>
              </w:rPr>
            </w:pPr>
          </w:p>
        </w:tc>
        <w:tc>
          <w:tcPr>
            <w:tcW w:w="1732" w:type="dxa"/>
            <w:vAlign w:val="center"/>
          </w:tcPr>
          <w:p w14:paraId="3EC934B1">
            <w:pPr>
              <w:spacing w:line="240" w:lineRule="auto"/>
              <w:jc w:val="center"/>
              <w:rPr>
                <w:rFonts w:cs="宋体" w:asciiTheme="minorEastAsia" w:hAnsiTheme="minorEastAsia"/>
                <w:kern w:val="0"/>
                <w:sz w:val="22"/>
                <w:szCs w:val="22"/>
                <w:u w:val="single"/>
              </w:rPr>
            </w:pPr>
          </w:p>
        </w:tc>
      </w:tr>
      <w:tr w14:paraId="6C62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7584D929">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其中分项占比</w:t>
            </w:r>
          </w:p>
        </w:tc>
        <w:tc>
          <w:tcPr>
            <w:tcW w:w="1362" w:type="dxa"/>
            <w:vAlign w:val="center"/>
          </w:tcPr>
          <w:p w14:paraId="048BE246">
            <w:pPr>
              <w:spacing w:line="240" w:lineRule="auto"/>
              <w:jc w:val="center"/>
              <w:rPr>
                <w:rFonts w:cs="宋体" w:asciiTheme="minorEastAsia" w:hAnsiTheme="minorEastAsia"/>
                <w:kern w:val="0"/>
                <w:sz w:val="22"/>
                <w:szCs w:val="22"/>
                <w:u w:val="single"/>
              </w:rPr>
            </w:pPr>
          </w:p>
        </w:tc>
        <w:tc>
          <w:tcPr>
            <w:tcW w:w="2228" w:type="dxa"/>
            <w:vAlign w:val="center"/>
          </w:tcPr>
          <w:p w14:paraId="05744BF5">
            <w:pPr>
              <w:spacing w:line="240" w:lineRule="auto"/>
              <w:jc w:val="center"/>
              <w:rPr>
                <w:rFonts w:cs="宋体" w:asciiTheme="minorEastAsia" w:hAnsiTheme="minorEastAsia"/>
                <w:kern w:val="0"/>
                <w:sz w:val="22"/>
                <w:szCs w:val="22"/>
                <w:u w:val="single"/>
              </w:rPr>
            </w:pPr>
          </w:p>
        </w:tc>
        <w:tc>
          <w:tcPr>
            <w:tcW w:w="1732" w:type="dxa"/>
            <w:vAlign w:val="center"/>
          </w:tcPr>
          <w:p w14:paraId="5992B624">
            <w:pPr>
              <w:spacing w:line="240" w:lineRule="auto"/>
              <w:jc w:val="center"/>
              <w:rPr>
                <w:rFonts w:cs="宋体" w:asciiTheme="minorEastAsia" w:hAnsiTheme="minorEastAsia"/>
                <w:kern w:val="0"/>
                <w:sz w:val="22"/>
                <w:szCs w:val="22"/>
                <w:u w:val="single"/>
              </w:rPr>
            </w:pPr>
          </w:p>
        </w:tc>
      </w:tr>
      <w:tr w14:paraId="6D0B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175C54F9">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DR</w:t>
            </w:r>
          </w:p>
        </w:tc>
        <w:tc>
          <w:tcPr>
            <w:tcW w:w="1362" w:type="dxa"/>
            <w:vAlign w:val="center"/>
          </w:tcPr>
          <w:p w14:paraId="4C34956B">
            <w:pPr>
              <w:spacing w:line="240" w:lineRule="auto"/>
              <w:jc w:val="center"/>
              <w:rPr>
                <w:rFonts w:cs="宋体" w:asciiTheme="minorEastAsia" w:hAnsiTheme="minorEastAsia"/>
                <w:kern w:val="0"/>
                <w:sz w:val="22"/>
                <w:szCs w:val="22"/>
                <w:u w:val="single"/>
              </w:rPr>
            </w:pPr>
          </w:p>
        </w:tc>
        <w:tc>
          <w:tcPr>
            <w:tcW w:w="2228" w:type="dxa"/>
            <w:vAlign w:val="center"/>
          </w:tcPr>
          <w:p w14:paraId="1855163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50%</w:t>
            </w:r>
          </w:p>
        </w:tc>
        <w:tc>
          <w:tcPr>
            <w:tcW w:w="1732" w:type="dxa"/>
            <w:vAlign w:val="center"/>
          </w:tcPr>
          <w:p w14:paraId="13422ED9">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60</w:t>
            </w:r>
          </w:p>
        </w:tc>
      </w:tr>
      <w:tr w14:paraId="07A2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005FE03E">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CT</w:t>
            </w:r>
          </w:p>
        </w:tc>
        <w:tc>
          <w:tcPr>
            <w:tcW w:w="1362" w:type="dxa"/>
            <w:vAlign w:val="center"/>
          </w:tcPr>
          <w:p w14:paraId="792A5C7F">
            <w:pPr>
              <w:spacing w:line="240" w:lineRule="auto"/>
              <w:jc w:val="center"/>
              <w:rPr>
                <w:rFonts w:cs="宋体" w:asciiTheme="minorEastAsia" w:hAnsiTheme="minorEastAsia"/>
                <w:kern w:val="0"/>
                <w:sz w:val="22"/>
                <w:szCs w:val="22"/>
                <w:u w:val="single"/>
              </w:rPr>
            </w:pPr>
          </w:p>
        </w:tc>
        <w:tc>
          <w:tcPr>
            <w:tcW w:w="2228" w:type="dxa"/>
            <w:vAlign w:val="center"/>
          </w:tcPr>
          <w:p w14:paraId="692B7A42">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30%</w:t>
            </w:r>
          </w:p>
        </w:tc>
        <w:tc>
          <w:tcPr>
            <w:tcW w:w="1732" w:type="dxa"/>
            <w:vAlign w:val="center"/>
          </w:tcPr>
          <w:p w14:paraId="43FE2372">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50</w:t>
            </w:r>
          </w:p>
        </w:tc>
      </w:tr>
      <w:tr w14:paraId="774E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07FBA454">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MR</w:t>
            </w:r>
          </w:p>
        </w:tc>
        <w:tc>
          <w:tcPr>
            <w:tcW w:w="1362" w:type="dxa"/>
            <w:vAlign w:val="center"/>
          </w:tcPr>
          <w:p w14:paraId="5BDBE7CE">
            <w:pPr>
              <w:spacing w:line="240" w:lineRule="auto"/>
              <w:jc w:val="center"/>
              <w:rPr>
                <w:rFonts w:cs="宋体" w:asciiTheme="minorEastAsia" w:hAnsiTheme="minorEastAsia"/>
                <w:kern w:val="0"/>
                <w:sz w:val="22"/>
                <w:szCs w:val="22"/>
                <w:u w:val="single"/>
              </w:rPr>
            </w:pPr>
          </w:p>
        </w:tc>
        <w:tc>
          <w:tcPr>
            <w:tcW w:w="2228" w:type="dxa"/>
            <w:vAlign w:val="center"/>
          </w:tcPr>
          <w:p w14:paraId="1E58BA02">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8%</w:t>
            </w:r>
          </w:p>
        </w:tc>
        <w:tc>
          <w:tcPr>
            <w:tcW w:w="1732" w:type="dxa"/>
            <w:vAlign w:val="center"/>
          </w:tcPr>
          <w:p w14:paraId="4CE48EFB">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30</w:t>
            </w:r>
          </w:p>
        </w:tc>
      </w:tr>
      <w:tr w14:paraId="240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0833F26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胃肠</w:t>
            </w:r>
          </w:p>
        </w:tc>
        <w:tc>
          <w:tcPr>
            <w:tcW w:w="1362" w:type="dxa"/>
            <w:vAlign w:val="center"/>
          </w:tcPr>
          <w:p w14:paraId="4BE73E0C">
            <w:pPr>
              <w:spacing w:line="240" w:lineRule="auto"/>
              <w:jc w:val="center"/>
              <w:rPr>
                <w:rFonts w:cs="宋体" w:asciiTheme="minorEastAsia" w:hAnsiTheme="minorEastAsia"/>
                <w:kern w:val="0"/>
                <w:sz w:val="22"/>
                <w:szCs w:val="22"/>
                <w:u w:val="single"/>
              </w:rPr>
            </w:pPr>
          </w:p>
        </w:tc>
        <w:tc>
          <w:tcPr>
            <w:tcW w:w="2228" w:type="dxa"/>
            <w:vAlign w:val="center"/>
          </w:tcPr>
          <w:p w14:paraId="01442A0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7%</w:t>
            </w:r>
          </w:p>
        </w:tc>
        <w:tc>
          <w:tcPr>
            <w:tcW w:w="1732" w:type="dxa"/>
            <w:vAlign w:val="center"/>
          </w:tcPr>
          <w:p w14:paraId="2F0D15F3">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20</w:t>
            </w:r>
          </w:p>
        </w:tc>
      </w:tr>
      <w:tr w14:paraId="3B57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vAlign w:val="center"/>
          </w:tcPr>
          <w:p w14:paraId="116DE638">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其他（乳腺、骨密度等）</w:t>
            </w:r>
          </w:p>
        </w:tc>
        <w:tc>
          <w:tcPr>
            <w:tcW w:w="1362" w:type="dxa"/>
            <w:vAlign w:val="center"/>
          </w:tcPr>
          <w:p w14:paraId="4025BFC8">
            <w:pPr>
              <w:spacing w:line="240" w:lineRule="auto"/>
              <w:jc w:val="center"/>
              <w:rPr>
                <w:rFonts w:cs="宋体" w:asciiTheme="minorEastAsia" w:hAnsiTheme="minorEastAsia"/>
                <w:kern w:val="0"/>
                <w:sz w:val="22"/>
                <w:szCs w:val="22"/>
                <w:u w:val="single"/>
              </w:rPr>
            </w:pPr>
          </w:p>
        </w:tc>
        <w:tc>
          <w:tcPr>
            <w:tcW w:w="2228" w:type="dxa"/>
            <w:vAlign w:val="center"/>
          </w:tcPr>
          <w:p w14:paraId="033B3E27">
            <w:pPr>
              <w:spacing w:line="240" w:lineRule="auto"/>
              <w:jc w:val="center"/>
              <w:rPr>
                <w:rFonts w:cs="宋体" w:asciiTheme="minorEastAsia" w:hAnsiTheme="minorEastAsia"/>
                <w:kern w:val="0"/>
                <w:sz w:val="22"/>
                <w:szCs w:val="22"/>
                <w:u w:val="single"/>
              </w:rPr>
            </w:pPr>
            <w:r>
              <w:rPr>
                <w:rFonts w:hint="eastAsia" w:cs="宋体" w:asciiTheme="minorEastAsia" w:hAnsiTheme="minorEastAsia"/>
                <w:kern w:val="0"/>
                <w:sz w:val="22"/>
                <w:szCs w:val="22"/>
                <w:u w:val="single"/>
              </w:rPr>
              <w:t>5%</w:t>
            </w:r>
          </w:p>
        </w:tc>
        <w:tc>
          <w:tcPr>
            <w:tcW w:w="1732" w:type="dxa"/>
            <w:vAlign w:val="center"/>
          </w:tcPr>
          <w:p w14:paraId="12CC1BE9">
            <w:pPr>
              <w:spacing w:line="240" w:lineRule="auto"/>
              <w:jc w:val="center"/>
              <w:rPr>
                <w:rFonts w:cs="宋体" w:asciiTheme="minorEastAsia" w:hAnsiTheme="minorEastAsia"/>
                <w:kern w:val="0"/>
                <w:sz w:val="22"/>
                <w:szCs w:val="22"/>
                <w:u w:val="single"/>
              </w:rPr>
            </w:pPr>
          </w:p>
        </w:tc>
      </w:tr>
    </w:tbl>
    <w:p w14:paraId="27DEFA73">
      <w:pPr>
        <w:spacing w:before="312" w:beforeLines="100"/>
        <w:rPr>
          <w:rFonts w:cs="宋体" w:asciiTheme="minorEastAsia" w:hAnsiTheme="minorEastAsia"/>
          <w:bCs/>
          <w:u w:val="single"/>
        </w:rPr>
      </w:pPr>
    </w:p>
    <w:p w14:paraId="25ED4E21">
      <w:pPr>
        <w:pageBreakBefore/>
        <w:spacing w:before="100" w:beforeAutospacing="1" w:after="312" w:afterLines="100"/>
        <w:jc w:val="center"/>
        <w:outlineLvl w:val="1"/>
        <w:rPr>
          <w:rFonts w:ascii="宋体" w:hAnsi="宋体" w:eastAsia="宋体" w:cs="黑体"/>
          <w:b/>
          <w:spacing w:val="-4"/>
          <w:sz w:val="32"/>
          <w:szCs w:val="28"/>
        </w:rPr>
      </w:pPr>
      <w:bookmarkStart w:id="67" w:name="_Toc85880717"/>
      <w:bookmarkStart w:id="68" w:name="_Toc85880808"/>
      <w:r>
        <w:rPr>
          <w:rFonts w:hint="eastAsia" w:ascii="宋体" w:hAnsi="宋体" w:eastAsia="宋体" w:cs="黑体"/>
          <w:b/>
          <w:spacing w:val="-4"/>
          <w:sz w:val="32"/>
          <w:szCs w:val="28"/>
        </w:rPr>
        <w:t>4</w:t>
      </w:r>
      <w:r>
        <w:rPr>
          <w:rFonts w:ascii="宋体" w:hAnsi="宋体" w:eastAsia="宋体" w:cs="黑体"/>
          <w:b/>
          <w:spacing w:val="-4"/>
          <w:sz w:val="32"/>
          <w:szCs w:val="28"/>
        </w:rPr>
        <w:t>.</w:t>
      </w:r>
      <w:r>
        <w:rPr>
          <w:rFonts w:hint="eastAsia" w:ascii="宋体" w:hAnsi="宋体" w:eastAsia="宋体" w:cs="黑体"/>
          <w:b/>
          <w:spacing w:val="-4"/>
          <w:sz w:val="32"/>
          <w:szCs w:val="28"/>
        </w:rPr>
        <w:t>选址与总平面</w:t>
      </w:r>
      <w:bookmarkEnd w:id="67"/>
      <w:bookmarkEnd w:id="68"/>
    </w:p>
    <w:p w14:paraId="1BDB1C83">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4.1 选 址</w:t>
      </w:r>
    </w:p>
    <w:p w14:paraId="48804217">
      <w:pPr>
        <w:spacing w:before="312" w:beforeLines="100"/>
        <w:rPr>
          <w:rFonts w:cs="宋体" w:asciiTheme="minorEastAsia" w:hAnsiTheme="minorEastAsia"/>
          <w:bCs/>
        </w:rPr>
      </w:pPr>
      <w:r>
        <w:rPr>
          <w:rFonts w:cs="宋体" w:asciiTheme="minorEastAsia" w:hAnsiTheme="minorEastAsia"/>
          <w:bCs/>
        </w:rPr>
        <w:t xml:space="preserve">4.1.2 </w:t>
      </w:r>
      <w:r>
        <w:rPr>
          <w:rFonts w:hint="eastAsia" w:cs="宋体" w:asciiTheme="minorEastAsia" w:hAnsiTheme="minorEastAsia"/>
          <w:bCs/>
        </w:rPr>
        <w:t>医院基地环境的选择应满足交通、安静、卫生、安全、环保等方面的基本要求。目前我国交通工具以公共交通或私家车为主，所以医院基地的选址必须考虑交通方便的因素。</w:t>
      </w:r>
    </w:p>
    <w:p w14:paraId="7B744657">
      <w:pPr>
        <w:ind w:firstLine="480" w:firstLineChars="200"/>
        <w:rPr>
          <w:rFonts w:cs="宋体" w:asciiTheme="minorEastAsia" w:hAnsiTheme="minorEastAsia"/>
          <w:bCs/>
        </w:rPr>
      </w:pPr>
      <w:r>
        <w:rPr>
          <w:rFonts w:hint="eastAsia" w:cs="宋体" w:asciiTheme="minorEastAsia" w:hAnsiTheme="minorEastAsia"/>
          <w:bCs/>
        </w:rPr>
        <w:t>设在人口集中的大城市或城市中心区的医院，往往用地比较紧张，实行社会化服务可缓解用地紧张的矛盾，避免对环境的污染，充分发挥设备的效率以避免重复投资带来的浪费。环境安静，远离污染源，指的是对场地进行历史调查，杜绝所选基地曾经是有害物生产场地或排放场地。此外，基地上空应空气洁净，附近无尘埃、煤烟、恶臭气味等工业废气污染，并应与某些工厂垃圾或污水处理场等有害气体产生地保持适当距离，并设在烟尘污染源的上风向。近年来，高速公路、铁路、航空器产生的环境噪声，以及高层建筑大片玻璃幕墙产生的光污染等也必须避免。</w:t>
      </w:r>
    </w:p>
    <w:p w14:paraId="36BB7D94">
      <w:pPr>
        <w:ind w:firstLine="480" w:firstLineChars="200"/>
        <w:rPr>
          <w:rFonts w:cs="宋体" w:asciiTheme="minorEastAsia" w:hAnsiTheme="minorEastAsia"/>
          <w:bCs/>
        </w:rPr>
      </w:pPr>
      <w:r>
        <w:rPr>
          <w:rFonts w:hint="eastAsia" w:asciiTheme="minorEastAsia" w:hAnsiTheme="minorEastAsia"/>
          <w:u w:val="single"/>
        </w:rPr>
        <w:t>第4款，医院的选址应避免低洼、易遭受洪水、内涝侵袭地段。</w:t>
      </w:r>
    </w:p>
    <w:p w14:paraId="51CD67EA">
      <w:pPr>
        <w:ind w:firstLine="480" w:firstLineChars="200"/>
        <w:rPr>
          <w:rFonts w:cs="宋体" w:asciiTheme="minorEastAsia" w:hAnsiTheme="minorEastAsia"/>
          <w:bCs/>
        </w:rPr>
      </w:pPr>
      <w:r>
        <w:rPr>
          <w:rFonts w:hint="eastAsia" w:cs="宋体" w:asciiTheme="minorEastAsia" w:hAnsiTheme="minorEastAsia"/>
          <w:bCs/>
        </w:rPr>
        <w:t>第5款，除为了保证医院的安全外，这一款规定也是某些精密医疗设备、仪器对环境的要求。</w:t>
      </w:r>
    </w:p>
    <w:p w14:paraId="50184AFB">
      <w:pPr>
        <w:ind w:firstLine="480" w:firstLineChars="200"/>
        <w:rPr>
          <w:rFonts w:cs="宋体" w:asciiTheme="minorEastAsia" w:hAnsiTheme="minorEastAsia"/>
          <w:bCs/>
          <w:bdr w:val="single" w:color="auto" w:sz="4" w:space="0"/>
        </w:rPr>
      </w:pPr>
      <w:r>
        <w:rPr>
          <w:rFonts w:hint="eastAsia" w:asciiTheme="minorEastAsia" w:hAnsiTheme="minorEastAsia"/>
          <w:bCs/>
          <w:bdr w:val="single" w:color="auto" w:sz="4" w:space="0"/>
        </w:rPr>
        <w:t>第</w:t>
      </w:r>
      <w:r>
        <w:rPr>
          <w:rFonts w:asciiTheme="minorEastAsia" w:hAnsiTheme="minorEastAsia"/>
          <w:bCs/>
          <w:bdr w:val="single" w:color="auto" w:sz="4" w:space="0"/>
        </w:rPr>
        <w:t>7</w:t>
      </w:r>
      <w:r>
        <w:rPr>
          <w:rFonts w:hint="eastAsia" w:asciiTheme="minorEastAsia" w:hAnsiTheme="minorEastAsia"/>
          <w:bCs/>
          <w:bdr w:val="single" w:color="auto" w:sz="4" w:space="0"/>
        </w:rPr>
        <w:t>款，医院内患者病情各异，细菌密集，医院本身是产生污染的场所，应避免其对城市带来负面影响。</w:t>
      </w:r>
    </w:p>
    <w:p w14:paraId="4F016A41">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4.2</w:t>
      </w:r>
      <w:r>
        <w:rPr>
          <w:rFonts w:cs="宋体" w:asciiTheme="minorEastAsia" w:hAnsiTheme="minorEastAsia"/>
          <w:b/>
          <w:sz w:val="28"/>
          <w:szCs w:val="30"/>
        </w:rPr>
        <w:t xml:space="preserve"> </w:t>
      </w:r>
      <w:r>
        <w:rPr>
          <w:rFonts w:hint="eastAsia" w:cs="宋体" w:asciiTheme="minorEastAsia" w:hAnsiTheme="minorEastAsia"/>
          <w:b/>
          <w:sz w:val="28"/>
          <w:szCs w:val="30"/>
        </w:rPr>
        <w:t>总平面</w:t>
      </w:r>
    </w:p>
    <w:p w14:paraId="0D42B75B">
      <w:pPr>
        <w:spacing w:before="312" w:beforeLines="100"/>
        <w:rPr>
          <w:rFonts w:cs="宋体" w:asciiTheme="minorEastAsia" w:hAnsiTheme="minorEastAsia"/>
          <w:bCs/>
          <w:bdr w:val="single" w:color="auto" w:sz="4" w:space="0"/>
        </w:rPr>
      </w:pPr>
      <w:r>
        <w:rPr>
          <w:rFonts w:hint="eastAsia" w:cs="宋体" w:asciiTheme="minorEastAsia" w:hAnsiTheme="minorEastAsia"/>
          <w:bCs/>
          <w:bdr w:val="single" w:color="auto" w:sz="4" w:space="0"/>
        </w:rPr>
        <w:t>4.2.4 本条规定的目的是避免焚烧炉对院内其他区域的污染。</w:t>
      </w:r>
    </w:p>
    <w:p w14:paraId="5380E59D">
      <w:pPr>
        <w:widowControl/>
        <w:snapToGrid w:val="0"/>
        <w:jc w:val="left"/>
        <w:rPr>
          <w:rFonts w:asciiTheme="minorEastAsia" w:hAnsiTheme="minorEastAsia"/>
          <w:bCs/>
          <w:kern w:val="0"/>
        </w:rPr>
      </w:pPr>
    </w:p>
    <w:p w14:paraId="303ADFE6">
      <w:pPr>
        <w:spacing w:line="1000" w:lineRule="exact"/>
        <w:jc w:val="center"/>
        <w:rPr>
          <w:rFonts w:asciiTheme="minorEastAsia" w:hAnsiTheme="minorEastAsia"/>
          <w:sz w:val="32"/>
          <w:szCs w:val="20"/>
        </w:rPr>
      </w:pPr>
    </w:p>
    <w:p w14:paraId="5DAC5764">
      <w:pPr>
        <w:pageBreakBefore/>
        <w:spacing w:before="100" w:beforeAutospacing="1" w:after="312" w:afterLines="100"/>
        <w:jc w:val="center"/>
        <w:outlineLvl w:val="1"/>
        <w:rPr>
          <w:rFonts w:ascii="宋体" w:hAnsi="宋体" w:eastAsia="宋体" w:cs="黑体"/>
          <w:b/>
          <w:spacing w:val="-4"/>
          <w:sz w:val="32"/>
          <w:szCs w:val="28"/>
        </w:rPr>
      </w:pPr>
      <w:bookmarkStart w:id="69" w:name="_Toc85880720"/>
      <w:bookmarkStart w:id="70" w:name="_Toc85880809"/>
      <w:r>
        <w:rPr>
          <w:rFonts w:hint="eastAsia" w:ascii="宋体" w:hAnsi="宋体" w:eastAsia="宋体" w:cs="黑体"/>
          <w:b/>
          <w:spacing w:val="-4"/>
          <w:sz w:val="32"/>
          <w:szCs w:val="28"/>
        </w:rPr>
        <w:t>5</w:t>
      </w:r>
      <w:r>
        <w:rPr>
          <w:rFonts w:ascii="宋体" w:hAnsi="宋体" w:eastAsia="宋体" w:cs="黑体"/>
          <w:b/>
          <w:spacing w:val="-4"/>
          <w:sz w:val="32"/>
          <w:szCs w:val="28"/>
        </w:rPr>
        <w:t>.</w:t>
      </w:r>
      <w:r>
        <w:rPr>
          <w:rFonts w:hint="eastAsia" w:ascii="宋体" w:hAnsi="宋体" w:eastAsia="宋体" w:cs="黑体"/>
          <w:b/>
          <w:spacing w:val="-4"/>
          <w:sz w:val="32"/>
          <w:szCs w:val="28"/>
        </w:rPr>
        <w:t>建筑设计</w:t>
      </w:r>
      <w:bookmarkEnd w:id="69"/>
      <w:bookmarkEnd w:id="70"/>
    </w:p>
    <w:p w14:paraId="2C81F01D">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5.1 一般规定</w:t>
      </w:r>
    </w:p>
    <w:p w14:paraId="338F1B92">
      <w:pPr>
        <w:spacing w:before="312" w:beforeLines="100"/>
        <w:rPr>
          <w:rFonts w:cs="宋体" w:asciiTheme="minorEastAsia" w:hAnsiTheme="minorEastAsia"/>
          <w:bCs/>
        </w:rPr>
      </w:pPr>
      <w:r>
        <w:rPr>
          <w:rFonts w:cs="宋体" w:asciiTheme="minorEastAsia" w:hAnsiTheme="minorEastAsia"/>
          <w:bCs/>
        </w:rPr>
        <w:t xml:space="preserve">5.1.11 </w:t>
      </w:r>
      <w:r>
        <w:rPr>
          <w:rFonts w:hint="eastAsia" w:cs="宋体" w:asciiTheme="minorEastAsia" w:hAnsiTheme="minorEastAsia"/>
          <w:bCs/>
        </w:rPr>
        <w:t>本条强调了</w:t>
      </w:r>
      <w:r>
        <w:rPr>
          <w:rFonts w:hint="eastAsia" w:cs="宋体" w:asciiTheme="minorEastAsia" w:hAnsiTheme="minorEastAsia"/>
          <w:bdr w:val="single" w:color="auto" w:sz="4" w:space="0"/>
        </w:rPr>
        <w:t>病房</w:t>
      </w:r>
      <w:r>
        <w:rPr>
          <w:rFonts w:hint="eastAsia" w:asciiTheme="minorEastAsia" w:hAnsiTheme="minorEastAsia"/>
          <w:bCs/>
          <w:szCs w:val="28"/>
          <w:u w:val="single"/>
        </w:rPr>
        <w:t>医院建筑</w:t>
      </w:r>
      <w:r>
        <w:rPr>
          <w:rFonts w:hint="eastAsia" w:cs="宋体" w:asciiTheme="minorEastAsia" w:hAnsiTheme="minorEastAsia"/>
          <w:bCs/>
        </w:rPr>
        <w:t>的允许噪声级和隔声设计应符合现行国家标准的有关规定。</w:t>
      </w:r>
    </w:p>
    <w:p w14:paraId="14216E15">
      <w:pPr>
        <w:spacing w:before="312" w:beforeLines="100"/>
        <w:rPr>
          <w:rFonts w:cs="宋体" w:asciiTheme="minorEastAsia" w:hAnsiTheme="minorEastAsia"/>
          <w:bCs/>
          <w:sz w:val="22"/>
          <w:szCs w:val="22"/>
        </w:rPr>
      </w:pPr>
      <w:r>
        <w:rPr>
          <w:rFonts w:hint="eastAsia" w:asciiTheme="minorEastAsia" w:hAnsiTheme="minorEastAsia"/>
          <w:bCs/>
          <w:u w:val="single"/>
        </w:rPr>
        <w:t>5.1.1</w:t>
      </w:r>
      <w:r>
        <w:rPr>
          <w:rFonts w:asciiTheme="minorEastAsia" w:hAnsiTheme="minorEastAsia"/>
          <w:bCs/>
          <w:u w:val="single"/>
        </w:rPr>
        <w:t>5</w:t>
      </w:r>
      <w:r>
        <w:rPr>
          <w:rFonts w:hint="eastAsia" w:asciiTheme="minorEastAsia" w:hAnsiTheme="minorEastAsia"/>
          <w:bCs/>
          <w:u w:val="single"/>
        </w:rPr>
        <w:t xml:space="preserve"> 放射科、放射治疗科、核医学科、介入治疗、手术部等科室宜为大型医技设备预留空间及楼面荷载，预留设备运输路径及确保路径的高度宽度、转弯空间等满足医技设备的运输，路径楼板宜预留设备运输荷载。</w:t>
      </w:r>
    </w:p>
    <w:p w14:paraId="6188DE63">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5.2 门诊部用房</w:t>
      </w:r>
    </w:p>
    <w:p w14:paraId="576779C4">
      <w:pPr>
        <w:spacing w:before="312" w:beforeLines="100"/>
        <w:rPr>
          <w:rFonts w:asciiTheme="minorEastAsia" w:hAnsiTheme="minorEastAsia"/>
          <w:bCs/>
          <w:u w:val="single"/>
        </w:rPr>
      </w:pPr>
      <w:r>
        <w:rPr>
          <w:rFonts w:hint="eastAsia" w:asciiTheme="minorEastAsia" w:hAnsiTheme="minorEastAsia"/>
          <w:bCs/>
          <w:u w:val="single"/>
        </w:rPr>
        <w:t>5.2.2 1</w:t>
      </w:r>
      <w:r>
        <w:rPr>
          <w:rFonts w:asciiTheme="minorEastAsia" w:hAnsiTheme="minorEastAsia"/>
          <w:bCs/>
          <w:u w:val="single"/>
        </w:rPr>
        <w:t xml:space="preserve"> </w:t>
      </w:r>
      <w:r>
        <w:rPr>
          <w:rFonts w:hint="eastAsia" w:asciiTheme="minorEastAsia" w:hAnsiTheme="minorEastAsia"/>
          <w:bCs/>
          <w:u w:val="single"/>
        </w:rPr>
        <w:t>门诊公共空间具有导引、分流等功能，诊疗单元通常采用模块分区。</w:t>
      </w:r>
    </w:p>
    <w:p w14:paraId="37B7487E">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公共空间应合理布局，预留各类自助服务终端，应考虑轮椅、推车停放位置。</w:t>
      </w:r>
    </w:p>
    <w:p w14:paraId="0D64E005">
      <w:pPr>
        <w:ind w:firstLine="480" w:firstLineChars="200"/>
        <w:rPr>
          <w:rFonts w:asciiTheme="minorEastAsia" w:hAnsiTheme="minorEastAsia"/>
          <w:bCs/>
          <w:u w:val="single"/>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门诊大厅应配置门诊一站式服务台、预检分诊台等服务设施。</w:t>
      </w:r>
    </w:p>
    <w:p w14:paraId="71F2D5E9">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门诊挂号收费窗口、药房窗口宜采用开放式设计或半开放式设计，应整体规划标识系统、信息发布系统、分诊排队系统等智能化设施，并按规范设置安防设施；应积极推动基于移动端的自助预检分诊、院内外导航、各类线上服务。</w:t>
      </w:r>
    </w:p>
    <w:p w14:paraId="0C055165">
      <w:pPr>
        <w:ind w:firstLine="480" w:firstLineChars="200"/>
        <w:rPr>
          <w:rFonts w:asciiTheme="minorEastAsia" w:hAnsiTheme="minorEastAsia"/>
          <w:bCs/>
          <w:u w:val="single"/>
        </w:rPr>
      </w:pPr>
      <w:r>
        <w:rPr>
          <w:rFonts w:hint="eastAsia" w:asciiTheme="minorEastAsia" w:hAnsiTheme="minorEastAsia"/>
          <w:bCs/>
          <w:u w:val="single"/>
        </w:rPr>
        <w:t>5</w:t>
      </w:r>
      <w:r>
        <w:rPr>
          <w:rFonts w:asciiTheme="minorEastAsia" w:hAnsiTheme="minorEastAsia"/>
          <w:bCs/>
          <w:u w:val="single"/>
        </w:rPr>
        <w:t xml:space="preserve"> </w:t>
      </w:r>
      <w:r>
        <w:rPr>
          <w:rFonts w:hint="eastAsia" w:asciiTheme="minorEastAsia" w:hAnsiTheme="minorEastAsia"/>
          <w:bCs/>
          <w:u w:val="single"/>
        </w:rPr>
        <w:t>门诊治疗中心宜设在外科、儿科等用于专科综合治疗或多专科综合治疗；日间治疗中心的设立主要用于日间化疗。</w:t>
      </w:r>
    </w:p>
    <w:p w14:paraId="43104C02">
      <w:pPr>
        <w:ind w:firstLine="480" w:firstLineChars="200"/>
        <w:rPr>
          <w:rFonts w:asciiTheme="minorEastAsia" w:hAnsiTheme="minorEastAsia"/>
          <w:bCs/>
          <w:u w:val="single"/>
        </w:rPr>
      </w:pPr>
      <w:r>
        <w:rPr>
          <w:rFonts w:hint="eastAsia" w:asciiTheme="minorEastAsia" w:hAnsiTheme="minorEastAsia"/>
          <w:bCs/>
          <w:u w:val="single"/>
        </w:rPr>
        <w:t>6 预检分诊通常在门诊大厅前置位置，考虑到疫情防控需要，也可在门诊大厅外部一侧设立平疫结合的空间，疫情发生时转换为专用的预检分诊入口门厅。</w:t>
      </w:r>
    </w:p>
    <w:p w14:paraId="6340CB08">
      <w:pPr>
        <w:spacing w:before="312" w:beforeLines="100"/>
        <w:rPr>
          <w:rFonts w:asciiTheme="minorEastAsia" w:hAnsiTheme="minorEastAsia"/>
          <w:bCs/>
          <w:u w:val="single"/>
        </w:rPr>
      </w:pPr>
      <w:r>
        <w:rPr>
          <w:rFonts w:asciiTheme="minorEastAsia" w:hAnsiTheme="minorEastAsia"/>
          <w:bCs/>
          <w:snapToGrid w:val="0"/>
          <w:spacing w:val="8"/>
          <w:kern w:val="0"/>
        </w:rPr>
        <w:t>5.2.3</w:t>
      </w:r>
      <w:r>
        <w:rPr>
          <w:rFonts w:asciiTheme="minorEastAsia" w:hAnsiTheme="minorEastAsia"/>
          <w:snapToGrid w:val="0"/>
          <w:spacing w:val="8"/>
          <w:kern w:val="0"/>
        </w:rPr>
        <w:t xml:space="preserve"> </w:t>
      </w:r>
      <w:r>
        <w:rPr>
          <w:rFonts w:asciiTheme="minorEastAsia" w:hAnsiTheme="minorEastAsia"/>
          <w:bCs/>
          <w:bdr w:val="single" w:color="auto" w:sz="4" w:space="0"/>
        </w:rPr>
        <w:t>利用单侧候诊的走道净宽</w:t>
      </w:r>
      <w:r>
        <w:rPr>
          <w:rFonts w:hint="eastAsia" w:asciiTheme="minorEastAsia" w:hAnsiTheme="minorEastAsia"/>
          <w:bCs/>
          <w:bdr w:val="single" w:color="auto" w:sz="4" w:space="0"/>
        </w:rPr>
        <w:t>要求</w:t>
      </w:r>
      <w:r>
        <w:rPr>
          <w:rFonts w:asciiTheme="minorEastAsia" w:hAnsiTheme="minorEastAsia"/>
          <w:bCs/>
          <w:bdr w:val="single" w:color="auto" w:sz="4" w:space="0"/>
        </w:rPr>
        <w:t>不小于2.40m，适当提高了标准。</w:t>
      </w:r>
      <w:r>
        <w:rPr>
          <w:rFonts w:hint="eastAsia" w:asciiTheme="minorEastAsia" w:hAnsiTheme="minorEastAsia"/>
          <w:bCs/>
          <w:bdr w:val="single" w:color="auto" w:sz="4" w:space="0"/>
        </w:rPr>
        <w:t>本条</w:t>
      </w:r>
      <w:r>
        <w:rPr>
          <w:rFonts w:asciiTheme="minorEastAsia" w:hAnsiTheme="minorEastAsia"/>
          <w:bCs/>
          <w:bdr w:val="single" w:color="auto" w:sz="4" w:space="0"/>
        </w:rPr>
        <w:t>第3</w:t>
      </w:r>
      <w:r>
        <w:rPr>
          <w:rFonts w:hint="eastAsia" w:asciiTheme="minorEastAsia" w:hAnsiTheme="minorEastAsia"/>
          <w:bCs/>
          <w:bdr w:val="single" w:color="auto" w:sz="4" w:space="0"/>
        </w:rPr>
        <w:t>款</w:t>
      </w:r>
      <w:r>
        <w:rPr>
          <w:rFonts w:asciiTheme="minorEastAsia" w:hAnsiTheme="minorEastAsia"/>
          <w:bCs/>
          <w:bdr w:val="single" w:color="auto" w:sz="4" w:space="0"/>
        </w:rPr>
        <w:t>反映了现代医院的一些最新发展趋势，如医患通道分设、电子叫号、预约挂号、分层挂号</w:t>
      </w:r>
      <w:r>
        <w:rPr>
          <w:rFonts w:hint="eastAsia" w:asciiTheme="minorEastAsia" w:hAnsiTheme="minorEastAsia"/>
          <w:bCs/>
          <w:bdr w:val="single" w:color="auto" w:sz="4" w:space="0"/>
        </w:rPr>
        <w:t>收费</w:t>
      </w:r>
      <w:r>
        <w:rPr>
          <w:rFonts w:asciiTheme="minorEastAsia" w:hAnsiTheme="minorEastAsia"/>
          <w:bCs/>
          <w:bdr w:val="single" w:color="auto" w:sz="4" w:space="0"/>
        </w:rPr>
        <w:t>等，可供医院设计时酌情采用。</w:t>
      </w:r>
      <w:r>
        <w:rPr>
          <w:rFonts w:hint="eastAsia" w:asciiTheme="minorEastAsia" w:hAnsiTheme="minorEastAsia"/>
          <w:bCs/>
          <w:u w:val="single"/>
        </w:rPr>
        <w:t>各门诊单元模块均应设置分诊台，分诊台应设分诊排队叫号系统、电话、宣教显示屏、信息显示屏等，附近部署各类自助设施、饮水设施等。</w:t>
      </w:r>
    </w:p>
    <w:p w14:paraId="47B9D7BC">
      <w:pPr>
        <w:ind w:firstLine="480" w:firstLineChars="200"/>
        <w:rPr>
          <w:rFonts w:asciiTheme="minorEastAsia" w:hAnsiTheme="minorEastAsia"/>
          <w:bCs/>
          <w:u w:val="single"/>
        </w:rPr>
      </w:pPr>
      <w:r>
        <w:rPr>
          <w:rFonts w:hint="eastAsia" w:cs="宋体" w:asciiTheme="minorEastAsia" w:hAnsiTheme="minorEastAsia"/>
          <w:bCs/>
          <w:u w:val="single"/>
        </w:rPr>
        <w:t>候诊可设为厅式候诊或廊式候诊，</w:t>
      </w:r>
      <w:r>
        <w:rPr>
          <w:rFonts w:cs="宋体" w:asciiTheme="minorEastAsia" w:hAnsiTheme="minorEastAsia"/>
          <w:bCs/>
          <w:u w:val="single"/>
        </w:rPr>
        <w:t>采用厅式候诊</w:t>
      </w:r>
      <w:r>
        <w:rPr>
          <w:rFonts w:hint="eastAsia" w:cs="宋体" w:asciiTheme="minorEastAsia" w:hAnsiTheme="minorEastAsia"/>
          <w:bCs/>
          <w:u w:val="single"/>
        </w:rPr>
        <w:t>，</w:t>
      </w:r>
      <w:r>
        <w:rPr>
          <w:rFonts w:cs="宋体" w:asciiTheme="minorEastAsia" w:hAnsiTheme="minorEastAsia"/>
          <w:bCs/>
          <w:u w:val="single"/>
        </w:rPr>
        <w:t>可采用单面厅</w:t>
      </w:r>
      <w:r>
        <w:rPr>
          <w:rFonts w:hint="eastAsia" w:cs="宋体" w:asciiTheme="minorEastAsia" w:hAnsiTheme="minorEastAsia"/>
          <w:bCs/>
          <w:u w:val="single"/>
        </w:rPr>
        <w:t>、</w:t>
      </w:r>
      <w:r>
        <w:rPr>
          <w:rFonts w:cs="宋体" w:asciiTheme="minorEastAsia" w:hAnsiTheme="minorEastAsia"/>
          <w:bCs/>
          <w:u w:val="single"/>
        </w:rPr>
        <w:t>双面厅或三面厅等形式</w:t>
      </w:r>
      <w:r>
        <w:rPr>
          <w:rFonts w:hint="eastAsia" w:cs="宋体" w:asciiTheme="minorEastAsia" w:hAnsiTheme="minorEastAsia"/>
          <w:bCs/>
          <w:u w:val="single"/>
        </w:rPr>
        <w:t>；采用廊式候诊时通常采用一次候诊与二次候诊相结合的方式。</w:t>
      </w:r>
    </w:p>
    <w:p w14:paraId="3F961B5E">
      <w:pPr>
        <w:spacing w:before="312" w:beforeLines="100"/>
        <w:rPr>
          <w:rFonts w:asciiTheme="minorEastAsia" w:hAnsiTheme="minorEastAsia"/>
          <w:bCs/>
          <w:u w:val="single"/>
        </w:rPr>
      </w:pPr>
      <w:r>
        <w:rPr>
          <w:rFonts w:hint="eastAsia" w:cs="宋体" w:asciiTheme="minorEastAsia" w:hAnsiTheme="minorEastAsia"/>
          <w:bCs/>
          <w:u w:val="single"/>
        </w:rPr>
        <w:t>5.2.3</w:t>
      </w:r>
      <w:r>
        <w:rPr>
          <w:rFonts w:cs="宋体" w:asciiTheme="minorEastAsia" w:hAnsiTheme="minorEastAsia"/>
          <w:bCs/>
          <w:u w:val="single"/>
        </w:rPr>
        <w:t>A</w:t>
      </w:r>
      <w:r>
        <w:rPr>
          <w:rFonts w:hint="eastAsia" w:cs="宋体" w:asciiTheme="minorEastAsia" w:hAnsiTheme="minorEastAsia"/>
          <w:bCs/>
          <w:u w:val="single"/>
        </w:rPr>
        <w:t xml:space="preserve"> </w:t>
      </w: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门诊诊疗单元可按常规设置，也应关注部分专科或医院按器官为中心的设置模式、一体化诊疗中心设置模式、按病种划分的设置模式等的运营服务和业务发展需要。</w:t>
      </w:r>
      <w:r>
        <w:rPr>
          <w:rFonts w:hint="eastAsia" w:cs="宋体" w:asciiTheme="minorEastAsia" w:hAnsiTheme="minorEastAsia"/>
          <w:bCs/>
          <w:u w:val="single"/>
        </w:rPr>
        <w:t>一体化诊疗模式设置专科专病诊疗门诊逐步成为发展趋势，单元内设置诊断、检查、治疗、宣教一体化的相关功能用房，便于患者在一个单元完成诊疗需求</w:t>
      </w:r>
      <w:r>
        <w:rPr>
          <w:rFonts w:hint="eastAsia" w:asciiTheme="minorEastAsia" w:hAnsiTheme="minorEastAsia"/>
          <w:bCs/>
          <w:u w:val="single"/>
        </w:rPr>
        <w:t>，也便于多点执</w:t>
      </w:r>
      <w:r>
        <w:rPr>
          <w:rFonts w:hint="eastAsia" w:cs="宋体" w:asciiTheme="minorEastAsia" w:hAnsiTheme="minorEastAsia"/>
          <w:bCs/>
          <w:u w:val="single"/>
        </w:rPr>
        <w:t>业</w:t>
      </w:r>
      <w:r>
        <w:rPr>
          <w:rFonts w:hint="eastAsia" w:asciiTheme="minorEastAsia" w:hAnsiTheme="minorEastAsia"/>
          <w:bCs/>
          <w:u w:val="single"/>
        </w:rPr>
        <w:t>情况下不同医师团队更快适应环境，也便于不同医师团队的弹性使用。如代谢病MMC、呼吸病、妇产科、男性科、泌尿科等的专科一体化单元设置，再如脑科中心、心脏中心、肾脏病中心等以器官为中心的诊疗单元设置，以肿瘤为中心的多科联合诊疗设置。</w:t>
      </w:r>
    </w:p>
    <w:p w14:paraId="7CA4B757">
      <w:pPr>
        <w:ind w:firstLine="480" w:firstLineChars="200"/>
        <w:rPr>
          <w:rFonts w:asciiTheme="minorEastAsia" w:hAnsiTheme="minorEastAsia"/>
          <w:bCs/>
          <w:u w:val="single"/>
        </w:rPr>
      </w:pPr>
      <w:r>
        <w:rPr>
          <w:rFonts w:hint="eastAsia" w:asciiTheme="minorEastAsia" w:hAnsiTheme="minorEastAsia"/>
          <w:bCs/>
          <w:u w:val="single"/>
        </w:rPr>
        <w:t>2 门诊量较小的科室可合并设置为多学科综合门诊诊疗单元。</w:t>
      </w:r>
    </w:p>
    <w:p w14:paraId="561A8EC6">
      <w:pPr>
        <w:ind w:firstLine="480" w:firstLineChars="200"/>
        <w:rPr>
          <w:rFonts w:asciiTheme="minorEastAsia" w:hAnsiTheme="minorEastAsia"/>
          <w:bCs/>
          <w:u w:val="single"/>
        </w:rPr>
      </w:pPr>
      <w:r>
        <w:rPr>
          <w:rFonts w:hint="eastAsia" w:asciiTheme="minorEastAsia" w:hAnsiTheme="minorEastAsia"/>
          <w:bCs/>
          <w:u w:val="single"/>
        </w:rPr>
        <w:t>3 多学科MDT门诊有多种类型，有本院多科合作门诊，也有院内外、国内外多科合作门诊，在诊室空间、配置上应根据不同需要设置。</w:t>
      </w:r>
    </w:p>
    <w:p w14:paraId="53E419AB">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各类诊室、治疗室、检查室、换药室等医护需与患者直接接触的房间，洗手池宜配置非接触式龙头，并宜采用柜盆等方式避免电线外露。洗手池靠墙一侧应做表面防水处理，设置悬挂洗手液、消毒液、擦手纸等装置。多人洗手的医疗空间与医辅空间宜采用较大尺寸的方形洗手盆，并选用带长柄水嘴的感应龙头。</w:t>
      </w:r>
    </w:p>
    <w:p w14:paraId="70B9A9DB">
      <w:pPr>
        <w:ind w:firstLine="480" w:firstLineChars="200"/>
        <w:rPr>
          <w:rFonts w:asciiTheme="minorEastAsia" w:hAnsiTheme="minorEastAsia"/>
          <w:bCs/>
          <w:u w:val="single"/>
        </w:rPr>
      </w:pPr>
      <w:r>
        <w:rPr>
          <w:rFonts w:hint="eastAsia" w:asciiTheme="minorEastAsia" w:hAnsiTheme="minorEastAsia"/>
          <w:bCs/>
          <w:u w:val="single"/>
        </w:rPr>
        <w:t>5 治疗室设施配置一般宜符合下列要求：</w:t>
      </w:r>
    </w:p>
    <w:p w14:paraId="1DB6369D">
      <w:pPr>
        <w:ind w:firstLine="480" w:firstLineChars="200"/>
        <w:rPr>
          <w:rFonts w:asciiTheme="minorEastAsia" w:hAnsiTheme="minorEastAsia"/>
          <w:bCs/>
          <w:u w:val="single"/>
        </w:rPr>
      </w:pPr>
      <w:r>
        <w:rPr>
          <w:rFonts w:hint="eastAsia" w:asciiTheme="minorEastAsia" w:hAnsiTheme="minorEastAsia"/>
          <w:bCs/>
          <w:u w:val="single"/>
        </w:rPr>
        <w:t>（1）部分有创操作或特殊插座的门诊专科治疗室，需要配置设备带和医用氧气，部分治疗室需要配置负压吸引，如内科雾化吸入治疗室、儿科雾化吸入治疗室需要配置吸氧，妇科LEEP刀治疗室、针灸科针刀治疗室等需要配置吸氧和吸引医用气体终端；</w:t>
      </w:r>
    </w:p>
    <w:p w14:paraId="7259E8D8">
      <w:pPr>
        <w:ind w:firstLine="480" w:firstLineChars="200"/>
        <w:rPr>
          <w:rFonts w:asciiTheme="minorEastAsia" w:hAnsiTheme="minorEastAsia"/>
          <w:bCs/>
          <w:u w:val="single"/>
        </w:rPr>
      </w:pPr>
      <w:r>
        <w:rPr>
          <w:rFonts w:hint="eastAsia" w:asciiTheme="minorEastAsia" w:hAnsiTheme="minorEastAsia"/>
          <w:bCs/>
          <w:u w:val="single"/>
        </w:rPr>
        <w:t>（2）宜根据不同功能，选择配置操作台、治疗桌椅、治疗床、器械柜、药品柜等；</w:t>
      </w:r>
    </w:p>
    <w:p w14:paraId="7E468F11">
      <w:pPr>
        <w:ind w:firstLine="480" w:firstLineChars="200"/>
        <w:rPr>
          <w:rFonts w:asciiTheme="minorEastAsia" w:hAnsiTheme="minorEastAsia"/>
          <w:bCs/>
          <w:u w:val="single"/>
        </w:rPr>
      </w:pPr>
      <w:r>
        <w:rPr>
          <w:rFonts w:hint="eastAsia" w:asciiTheme="minorEastAsia" w:hAnsiTheme="minorEastAsia"/>
          <w:bCs/>
          <w:u w:val="single"/>
        </w:rPr>
        <w:t>（3）可采用循环风紫外线空气消毒器或静电吸附式空气消毒器或其它获得消毒产品卫生许可批件的空气消毒器。</w:t>
      </w:r>
    </w:p>
    <w:p w14:paraId="73EB6EE4">
      <w:pPr>
        <w:ind w:firstLine="480" w:firstLineChars="200"/>
        <w:rPr>
          <w:rFonts w:asciiTheme="minorEastAsia" w:hAnsiTheme="minorEastAsia"/>
          <w:bCs/>
          <w:u w:val="single"/>
        </w:rPr>
      </w:pPr>
      <w:r>
        <w:rPr>
          <w:rFonts w:hint="eastAsia" w:asciiTheme="minorEastAsia" w:hAnsiTheme="minorEastAsia"/>
          <w:bCs/>
          <w:u w:val="single"/>
        </w:rPr>
        <w:t>6</w:t>
      </w:r>
      <w:r>
        <w:rPr>
          <w:rFonts w:asciiTheme="minorEastAsia" w:hAnsiTheme="minorEastAsia"/>
          <w:bCs/>
          <w:u w:val="single"/>
        </w:rPr>
        <w:t xml:space="preserve"> </w:t>
      </w:r>
      <w:r>
        <w:rPr>
          <w:rFonts w:hint="eastAsia" w:asciiTheme="minorEastAsia" w:hAnsiTheme="minorEastAsia"/>
          <w:bCs/>
          <w:u w:val="single"/>
        </w:rPr>
        <w:t>专科检查室设施配置应符合下列要求：</w:t>
      </w:r>
    </w:p>
    <w:p w14:paraId="2A0A1A70">
      <w:pPr>
        <w:ind w:firstLine="480" w:firstLineChars="200"/>
        <w:rPr>
          <w:rFonts w:asciiTheme="minorEastAsia" w:hAnsiTheme="minorEastAsia"/>
          <w:bCs/>
          <w:u w:val="single"/>
        </w:rPr>
      </w:pPr>
      <w:r>
        <w:rPr>
          <w:rFonts w:hint="eastAsia" w:asciiTheme="minorEastAsia" w:hAnsiTheme="minorEastAsia"/>
          <w:bCs/>
          <w:u w:val="single"/>
        </w:rPr>
        <w:t>（1）专科检查室内可根据需要配备操作边台、各类检查设备，如泌尿外科检查室、妇科检查室；</w:t>
      </w:r>
    </w:p>
    <w:p w14:paraId="60A50D08">
      <w:pPr>
        <w:ind w:firstLine="480" w:firstLineChars="200"/>
        <w:rPr>
          <w:rFonts w:asciiTheme="minorEastAsia" w:hAnsiTheme="minorEastAsia"/>
          <w:bCs/>
          <w:u w:val="single"/>
        </w:rPr>
      </w:pPr>
      <w:r>
        <w:rPr>
          <w:rFonts w:hint="eastAsia" w:asciiTheme="minorEastAsia" w:hAnsiTheme="minorEastAsia"/>
          <w:bCs/>
          <w:u w:val="single"/>
        </w:rPr>
        <w:t>（2）操作台上或检查设备宜设一组2个强电插座，检查床侧宜设一组2个强电插座；并应预留网络和电话点位各1个。</w:t>
      </w:r>
    </w:p>
    <w:p w14:paraId="36F1DDA6">
      <w:pPr>
        <w:ind w:firstLine="480" w:firstLineChars="200"/>
        <w:rPr>
          <w:rFonts w:cs="宋体" w:asciiTheme="minorEastAsia" w:hAnsiTheme="minorEastAsia"/>
          <w:bCs/>
          <w:u w:val="single"/>
        </w:rPr>
      </w:pPr>
      <w:r>
        <w:rPr>
          <w:rFonts w:hint="eastAsia" w:asciiTheme="minorEastAsia" w:hAnsiTheme="minorEastAsia"/>
          <w:bCs/>
          <w:u w:val="single"/>
        </w:rPr>
        <w:t>（3）妇产科检查室、肺功能检查室应配置空气消毒设施。</w:t>
      </w:r>
    </w:p>
    <w:p w14:paraId="77D0F8CD">
      <w:pPr>
        <w:spacing w:before="312" w:beforeLines="100"/>
        <w:rPr>
          <w:rFonts w:asciiTheme="minorEastAsia" w:hAnsiTheme="minorEastAsia"/>
          <w:bCs/>
        </w:rPr>
      </w:pPr>
      <w:r>
        <w:rPr>
          <w:rFonts w:asciiTheme="minorEastAsia" w:hAnsiTheme="minorEastAsia"/>
          <w:bCs/>
          <w:snapToGrid w:val="0"/>
          <w:spacing w:val="8"/>
          <w:kern w:val="0"/>
        </w:rPr>
        <w:t xml:space="preserve">5.2.4 </w:t>
      </w:r>
      <w:r>
        <w:rPr>
          <w:rFonts w:cs="宋体" w:asciiTheme="minorEastAsia" w:hAnsiTheme="minorEastAsia"/>
          <w:bdr w:val="single" w:color="auto" w:sz="4" w:space="0"/>
        </w:rPr>
        <w:t>由于信息管理系统和计算机的普遍应用，</w:t>
      </w:r>
      <w:r>
        <w:rPr>
          <w:rFonts w:hint="eastAsia" w:cs="宋体" w:asciiTheme="minorEastAsia" w:hAnsiTheme="minorEastAsia"/>
          <w:bdr w:val="single" w:color="auto" w:sz="4" w:space="0"/>
        </w:rPr>
        <w:t>以及</w:t>
      </w:r>
      <w:r>
        <w:rPr>
          <w:rFonts w:cs="宋体" w:asciiTheme="minorEastAsia" w:hAnsiTheme="minorEastAsia"/>
          <w:bdr w:val="single" w:color="auto" w:sz="4" w:space="0"/>
        </w:rPr>
        <w:t>单人诊室在一些新建医院中的广泛采用，原定的诊室标准已不能满足实际要求</w:t>
      </w:r>
      <w:r>
        <w:rPr>
          <w:rFonts w:hint="eastAsia" w:cs="宋体" w:asciiTheme="minorEastAsia" w:hAnsiTheme="minorEastAsia"/>
          <w:bdr w:val="single" w:color="auto" w:sz="4" w:space="0"/>
        </w:rPr>
        <w:t>，因此</w:t>
      </w:r>
      <w:r>
        <w:rPr>
          <w:rFonts w:cs="宋体" w:asciiTheme="minorEastAsia" w:hAnsiTheme="minorEastAsia"/>
          <w:bdr w:val="single" w:color="auto" w:sz="4" w:space="0"/>
        </w:rPr>
        <w:t>根据近年来的实际需要</w:t>
      </w:r>
      <w:r>
        <w:rPr>
          <w:rFonts w:hint="eastAsia" w:cs="宋体" w:asciiTheme="minorEastAsia" w:hAnsiTheme="minorEastAsia"/>
          <w:bdr w:val="single" w:color="auto" w:sz="4" w:space="0"/>
        </w:rPr>
        <w:t>进行了</w:t>
      </w:r>
      <w:r>
        <w:rPr>
          <w:rFonts w:cs="宋体" w:asciiTheme="minorEastAsia" w:hAnsiTheme="minorEastAsia"/>
          <w:bdr w:val="single" w:color="auto" w:sz="4" w:space="0"/>
        </w:rPr>
        <w:t>修改。单人诊室的尺寸已考虑了诊室内的一些基本配置，如办公桌、检查床及电脑设备等。</w:t>
      </w:r>
    </w:p>
    <w:p w14:paraId="26E5C5F6">
      <w:pPr>
        <w:ind w:firstLine="480" w:firstLineChars="200"/>
        <w:rPr>
          <w:rFonts w:asciiTheme="minorEastAsia" w:hAnsiTheme="minorEastAsia"/>
          <w:bCs/>
          <w:u w:val="single"/>
        </w:rPr>
      </w:pP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诊室宜按一医一患一诊室。除眼科、耳鼻喉科等特殊诊室外，每个诊室内应配置一张诊桌、一张诊查床；诊查床位置应合适，并配备吊帘或隔断，以保护患者的隐私；采用欧美部署模式和多功能诊床的，诊床可不贴墙放置，方便医生三个面或四个面均可对病患查体。</w:t>
      </w:r>
    </w:p>
    <w:p w14:paraId="57E84103">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每个诊桌宜设置3-4个强电插座、1-2个网络插座、1个电话插座，采用虚拟桌面或一体机电脑的，插座位置应在诊桌以上20CM高度；诊查床宜设置1个强电插座；有观片灯需要的应考虑安装方式，并注意插座的高度。</w:t>
      </w:r>
    </w:p>
    <w:p w14:paraId="0412F758">
      <w:pPr>
        <w:ind w:firstLine="480" w:firstLineChars="200"/>
        <w:rPr>
          <w:rFonts w:asciiTheme="minorEastAsia" w:hAnsiTheme="minorEastAsia"/>
          <w:bCs/>
          <w:u w:val="single"/>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诊室门口应设置排队叫号显示屏；</w:t>
      </w:r>
    </w:p>
    <w:p w14:paraId="66A7A9FB">
      <w:pPr>
        <w:ind w:firstLine="480" w:firstLineChars="200"/>
        <w:rPr>
          <w:rFonts w:cs="宋体" w:asciiTheme="minorEastAsia" w:hAnsiTheme="minorEastAsia"/>
          <w:bCs/>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诊室内应根据不同的科别配置相关家具与医疗设施。</w:t>
      </w:r>
    </w:p>
    <w:p w14:paraId="4930F92B">
      <w:pPr>
        <w:spacing w:before="312" w:beforeLines="100"/>
        <w:rPr>
          <w:rFonts w:asciiTheme="minorEastAsia" w:hAnsiTheme="minorEastAsia"/>
          <w:bCs/>
          <w:u w:val="single"/>
        </w:rPr>
      </w:pPr>
      <w:r>
        <w:rPr>
          <w:rFonts w:hint="eastAsia" w:cs="宋体" w:asciiTheme="minorEastAsia" w:hAnsiTheme="minorEastAsia"/>
          <w:bCs/>
          <w:u w:val="single"/>
        </w:rPr>
        <w:t>5.2.4</w:t>
      </w:r>
      <w:r>
        <w:rPr>
          <w:rFonts w:cs="宋体" w:asciiTheme="minorEastAsia" w:hAnsiTheme="minorEastAsia"/>
          <w:bCs/>
          <w:u w:val="single"/>
        </w:rPr>
        <w:t xml:space="preserve">A </w:t>
      </w:r>
      <w:r>
        <w:rPr>
          <w:rFonts w:hint="eastAsia" w:cs="宋体" w:asciiTheme="minorEastAsia" w:hAnsiTheme="minorEastAsia"/>
          <w:bCs/>
          <w:u w:val="single"/>
        </w:rPr>
        <w:t>1</w:t>
      </w:r>
      <w:r>
        <w:rPr>
          <w:rFonts w:hint="eastAsia" w:asciiTheme="minorEastAsia" w:hAnsiTheme="minorEastAsia"/>
          <w:bCs/>
          <w:u w:val="single"/>
        </w:rPr>
        <w:t xml:space="preserve"> 外科治疗室和检查室应注意不同专科的需要，如泌尿外科、乳腺外科、男科等，相对需求比较丰富，运行管理模式也有多种选择。</w:t>
      </w:r>
    </w:p>
    <w:p w14:paraId="76D3D18A">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外科门诊手术室可独立设置，或与其他专科手术室合并集中设置门诊手术室，手术室数量根据业务需要配置，区域内配置准备间、手术间和暂存间，如有条件宜配置术后恢复观察室；手术间内宜配置无影灯、手术床、观片灯、医护工作站、空气消毒机、医用气体终端等，宜配置能够灵活控制的冷热源。准备配置更衣洗手装置和器械橱柜。</w:t>
      </w:r>
    </w:p>
    <w:p w14:paraId="371AA30E">
      <w:pPr>
        <w:ind w:firstLine="480" w:firstLineChars="200"/>
        <w:rPr>
          <w:rFonts w:asciiTheme="minorEastAsia" w:hAnsiTheme="minorEastAsia"/>
          <w:u w:val="single"/>
        </w:rPr>
      </w:pPr>
      <w:r>
        <w:rPr>
          <w:rFonts w:hint="eastAsia" w:asciiTheme="minorEastAsia" w:hAnsiTheme="minorEastAsia"/>
          <w:bCs/>
          <w:u w:val="single"/>
        </w:rPr>
        <w:t>3 泌尿外科、乳腺外科、男科等有暴露身体的空间，应注意过渡季节采暖问题。</w:t>
      </w:r>
    </w:p>
    <w:p w14:paraId="13EE16BF">
      <w:pPr>
        <w:spacing w:before="312" w:beforeLines="100"/>
        <w:rPr>
          <w:rFonts w:asciiTheme="minorEastAsia" w:hAnsiTheme="minorEastAsia"/>
          <w:bCs/>
        </w:rPr>
      </w:pPr>
      <w:r>
        <w:rPr>
          <w:rFonts w:asciiTheme="minorEastAsia" w:hAnsiTheme="minorEastAsia"/>
          <w:bCs/>
          <w:snapToGrid w:val="0"/>
          <w:spacing w:val="8"/>
          <w:kern w:val="0"/>
        </w:rPr>
        <w:t>5.2.5</w:t>
      </w:r>
      <w:r>
        <w:rPr>
          <w:rFonts w:asciiTheme="minorEastAsia" w:hAnsiTheme="minorEastAsia"/>
          <w:bCs/>
        </w:rPr>
        <w:t xml:space="preserve"> </w:t>
      </w:r>
      <w:r>
        <w:rPr>
          <w:rFonts w:asciiTheme="minorEastAsia" w:hAnsiTheme="minorEastAsia"/>
          <w:bCs/>
          <w:bdr w:val="single" w:color="auto" w:sz="4" w:space="0"/>
        </w:rPr>
        <w:t>考虑到有些新建医院用地较为紧张、建筑较为集中，设单独出入口有困难，所以对妇科、产科和计划生育门诊的单独出入口放宽了要求</w:t>
      </w:r>
      <w:r>
        <w:rPr>
          <w:rFonts w:hint="eastAsia" w:asciiTheme="minorEastAsia" w:hAnsiTheme="minorEastAsia"/>
          <w:bCs/>
          <w:bdr w:val="single" w:color="auto" w:sz="4" w:space="0"/>
        </w:rPr>
        <w:t>。</w:t>
      </w:r>
      <w:r>
        <w:rPr>
          <w:rFonts w:asciiTheme="minorEastAsia" w:hAnsiTheme="minorEastAsia"/>
          <w:bCs/>
          <w:bdr w:val="single" w:color="auto" w:sz="4" w:space="0"/>
        </w:rPr>
        <w:t>由于这些科室均有各自的特殊要求，</w:t>
      </w:r>
      <w:r>
        <w:rPr>
          <w:rFonts w:hint="eastAsia" w:asciiTheme="minorEastAsia" w:hAnsiTheme="minorEastAsia"/>
          <w:bCs/>
          <w:bdr w:val="single" w:color="auto" w:sz="4" w:space="0"/>
        </w:rPr>
        <w:t>为</w:t>
      </w:r>
      <w:r>
        <w:rPr>
          <w:rFonts w:asciiTheme="minorEastAsia" w:hAnsiTheme="minorEastAsia"/>
          <w:bCs/>
          <w:bdr w:val="single" w:color="auto" w:sz="4" w:space="0"/>
        </w:rPr>
        <w:t>避免和其他科室患者接触，减少院内感染，故应自成一区。这些科室可采取设在尽端等方式的布局，达到自成一区的目的。</w:t>
      </w:r>
    </w:p>
    <w:p w14:paraId="2FEB5BE1">
      <w:pPr>
        <w:ind w:firstLine="480" w:firstLineChars="200"/>
        <w:rPr>
          <w:rFonts w:asciiTheme="minorEastAsia" w:hAnsiTheme="minorEastAsia"/>
          <w:bCs/>
          <w:u w:val="single"/>
        </w:rPr>
      </w:pP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妇科检查和治疗应注意隐私保护，同时该区域暴露身体，应注意过渡季节采暖问题。</w:t>
      </w:r>
    </w:p>
    <w:p w14:paraId="73308CF1">
      <w:pPr>
        <w:ind w:firstLine="480" w:firstLineChars="200"/>
        <w:rPr>
          <w:rFonts w:asciiTheme="minorEastAsia" w:hAnsiTheme="minorEastAsia"/>
          <w:bCs/>
          <w:u w:val="single"/>
        </w:rPr>
      </w:pPr>
      <w:r>
        <w:rPr>
          <w:rFonts w:hint="eastAsia" w:asciiTheme="minorEastAsia" w:hAnsiTheme="minorEastAsia"/>
          <w:bCs/>
          <w:u w:val="single"/>
        </w:rPr>
        <w:t>2 妇科门诊LEEP治疗室或其他需要烧灼组织的治疗室，应注意机械通风和排气装置设置。</w:t>
      </w:r>
    </w:p>
    <w:p w14:paraId="289C0153">
      <w:pPr>
        <w:ind w:firstLine="480" w:firstLineChars="200"/>
        <w:rPr>
          <w:rFonts w:cs="宋体" w:asciiTheme="minorEastAsia" w:hAnsiTheme="minorEastAsia"/>
          <w:bCs/>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妇科门诊手术、人流手术室、宫腔镜检查室等可以一体化设置，在流程和设施应注意感控要求；各手术室、检查室应配置空气消毒机、医用气体终端和能够灵活控制的冷热源。</w:t>
      </w:r>
    </w:p>
    <w:p w14:paraId="7D75E95D">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5.2.7～5.2.9 这几条分别对耳鼻喉科、眼科、口腔科提出了基本要求。</w:t>
      </w:r>
    </w:p>
    <w:p w14:paraId="2F8688DA">
      <w:pPr>
        <w:spacing w:before="312" w:beforeLines="100"/>
        <w:rPr>
          <w:rFonts w:asciiTheme="minorEastAsia" w:hAnsiTheme="minorEastAsia"/>
          <w:bCs/>
          <w:u w:val="single"/>
        </w:rPr>
      </w:pPr>
      <w:r>
        <w:rPr>
          <w:rFonts w:asciiTheme="minorEastAsia" w:hAnsiTheme="minorEastAsia"/>
          <w:bCs/>
          <w:snapToGrid w:val="0"/>
          <w:spacing w:val="8"/>
          <w:kern w:val="0"/>
          <w:u w:val="single"/>
        </w:rPr>
        <w:t>5.2.7</w:t>
      </w:r>
      <w:r>
        <w:rPr>
          <w:rFonts w:hint="eastAsia" w:asciiTheme="minorEastAsia" w:hAnsiTheme="minorEastAsia"/>
          <w:snapToGrid w:val="0"/>
          <w:spacing w:val="8"/>
          <w:kern w:val="0"/>
          <w:u w:val="single"/>
        </w:rPr>
        <w:t xml:space="preserve"> </w:t>
      </w: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耳鼻喉科内镜检查室需要分设检查区与清洗消毒区，需要配置设备带和氧气、吸引气体终端，配置不同用途的清洗槽或自动洗镜消毒设施。清洗室应加强通风换气设计，每小时换气次数不少于10次，排风建议采用外排方式，室内排风口除顶面外，应增设离地30CM高度的排风口；</w:t>
      </w:r>
    </w:p>
    <w:p w14:paraId="573CD49B">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脱敏检査治疗室和脱敏观察室应配置医用氧气终端，脱敏观察室需要配置观察床；</w:t>
      </w:r>
    </w:p>
    <w:p w14:paraId="53B52E1A">
      <w:pPr>
        <w:ind w:firstLine="480" w:firstLineChars="200"/>
        <w:rPr>
          <w:rFonts w:asciiTheme="minorEastAsia" w:hAnsiTheme="minorEastAsia"/>
          <w:bCs/>
          <w:u w:val="single"/>
        </w:rPr>
      </w:pPr>
      <w:r>
        <w:rPr>
          <w:rFonts w:hint="eastAsia" w:asciiTheme="minorEastAsia" w:hAnsiTheme="minorEastAsia"/>
          <w:bCs/>
          <w:u w:val="single"/>
        </w:rPr>
        <w:t>3 综合治疗室应配置设备带和医用氧气、吸引气体终端。</w:t>
      </w:r>
    </w:p>
    <w:p w14:paraId="68B67595">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测听室设置应符合下列要求：</w:t>
      </w:r>
    </w:p>
    <w:p w14:paraId="3AC9C2AD">
      <w:pPr>
        <w:ind w:firstLine="480" w:firstLineChars="200"/>
        <w:rPr>
          <w:rFonts w:asciiTheme="minorEastAsia" w:hAnsiTheme="minorEastAsia"/>
          <w:bCs/>
          <w:u w:val="single"/>
        </w:rPr>
      </w:pPr>
      <w:r>
        <w:rPr>
          <w:rFonts w:hint="eastAsia" w:asciiTheme="minorEastAsia" w:hAnsiTheme="minorEastAsia"/>
          <w:bCs/>
          <w:u w:val="single"/>
        </w:rPr>
        <w:t>（1）测听室控制区墙体应采用光滑装修材料，隔音室内壁和顶面一般采用多孔吸声材料，地面铺设地毯；</w:t>
      </w:r>
    </w:p>
    <w:p w14:paraId="693E2FC0">
      <w:pPr>
        <w:ind w:firstLine="480" w:firstLineChars="200"/>
        <w:rPr>
          <w:rFonts w:asciiTheme="minorEastAsia" w:hAnsiTheme="minorEastAsia"/>
          <w:bCs/>
          <w:u w:val="single"/>
        </w:rPr>
      </w:pPr>
      <w:r>
        <w:rPr>
          <w:rFonts w:hint="eastAsia" w:asciiTheme="minorEastAsia" w:hAnsiTheme="minorEastAsia"/>
          <w:bCs/>
          <w:u w:val="single"/>
        </w:rPr>
        <w:t>（2）隔音室门应采用双层结构，在两层钢板之间加吸声材料，门扇四周用橡皮压条，框与扉之间用阶梯式结构，以提高密闭性能。</w:t>
      </w:r>
    </w:p>
    <w:p w14:paraId="11BACED7">
      <w:pPr>
        <w:ind w:firstLine="480" w:firstLineChars="200"/>
        <w:rPr>
          <w:rFonts w:asciiTheme="minorEastAsia" w:hAnsiTheme="minorEastAsia"/>
          <w:bCs/>
          <w:u w:val="single"/>
        </w:rPr>
      </w:pPr>
      <w:r>
        <w:rPr>
          <w:rFonts w:hint="eastAsia" w:asciiTheme="minorEastAsia" w:hAnsiTheme="minorEastAsia"/>
          <w:bCs/>
          <w:u w:val="single"/>
        </w:rPr>
        <w:t>（3）测听室应建在相对僻静处，要远离马路，尽量避开外界噪声源，如地处闹市区、交通干线或铁路沿线，建测听室之前应对周围环境噪声测量后进行设计。</w:t>
      </w:r>
    </w:p>
    <w:p w14:paraId="469DCBC5">
      <w:pPr>
        <w:ind w:firstLine="480" w:firstLineChars="200"/>
        <w:rPr>
          <w:rFonts w:asciiTheme="minorEastAsia" w:hAnsiTheme="minorEastAsia"/>
          <w:bCs/>
          <w:u w:val="single"/>
        </w:rPr>
      </w:pPr>
      <w:r>
        <w:rPr>
          <w:rFonts w:hint="eastAsia" w:asciiTheme="minorEastAsia" w:hAnsiTheme="minorEastAsia"/>
          <w:bCs/>
          <w:u w:val="single"/>
        </w:rPr>
        <w:t>（4）隔声室需根据所处的位置采取适当的减震措施。</w:t>
      </w:r>
    </w:p>
    <w:p w14:paraId="2E9F3137">
      <w:pPr>
        <w:ind w:firstLine="480" w:firstLineChars="200"/>
        <w:rPr>
          <w:rFonts w:asciiTheme="minorEastAsia" w:hAnsiTheme="minorEastAsia"/>
          <w:bCs/>
          <w:u w:val="single"/>
        </w:rPr>
      </w:pPr>
      <w:r>
        <w:rPr>
          <w:rFonts w:hint="eastAsia" w:asciiTheme="minorEastAsia" w:hAnsiTheme="minorEastAsia"/>
          <w:bCs/>
          <w:u w:val="single"/>
        </w:rPr>
        <w:t>（5）测听室宜采用密闭式房间，可不留供采光和通风用的窗户；通向走廊的门应为隔声密闭门；室内应通风良好，送风和排风管道密闭性能高，配有阻抗消声器和消声弯头，用软接头与顶板上预留的送/排风口连接。换气频率应达到10次/小时，室内温度（18℃～25℃）±3℃，相对湿度（40%～70%）±10%为宜。</w:t>
      </w:r>
    </w:p>
    <w:p w14:paraId="2C2FCCFE">
      <w:pPr>
        <w:ind w:firstLine="480" w:firstLineChars="200"/>
        <w:rPr>
          <w:rFonts w:asciiTheme="minorEastAsia" w:hAnsiTheme="minorEastAsia"/>
          <w:bCs/>
          <w:u w:val="single"/>
        </w:rPr>
      </w:pPr>
      <w:r>
        <w:rPr>
          <w:rFonts w:hint="eastAsia" w:asciiTheme="minorEastAsia" w:hAnsiTheme="minorEastAsia"/>
          <w:bCs/>
          <w:u w:val="single"/>
        </w:rPr>
        <w:t>（6）室内照明应采用白炽灯，不宜用荧光灯。</w:t>
      </w:r>
    </w:p>
    <w:p w14:paraId="40D80716">
      <w:pPr>
        <w:ind w:firstLine="480" w:firstLineChars="200"/>
        <w:rPr>
          <w:rFonts w:asciiTheme="minorEastAsia" w:hAnsiTheme="minorEastAsia"/>
          <w:bCs/>
          <w:u w:val="single"/>
        </w:rPr>
      </w:pPr>
      <w:r>
        <w:rPr>
          <w:rFonts w:hint="eastAsia" w:asciiTheme="minorEastAsia" w:hAnsiTheme="minorEastAsia"/>
          <w:bCs/>
          <w:u w:val="single"/>
        </w:rPr>
        <w:t>（7）听觉诱发电位的测试室或听觉生理研究实验室，应具备一定的隔声条件及防止外界电磁波干扰。</w:t>
      </w:r>
    </w:p>
    <w:p w14:paraId="3A94B687">
      <w:pPr>
        <w:spacing w:before="312" w:beforeLines="100"/>
        <w:rPr>
          <w:rFonts w:asciiTheme="minorEastAsia" w:hAnsiTheme="minorEastAsia"/>
          <w:bCs/>
          <w:u w:val="single"/>
        </w:rPr>
      </w:pPr>
      <w:r>
        <w:rPr>
          <w:rFonts w:asciiTheme="minorEastAsia" w:hAnsiTheme="minorEastAsia"/>
          <w:bCs/>
          <w:snapToGrid w:val="0"/>
          <w:spacing w:val="8"/>
          <w:kern w:val="0"/>
          <w:u w:val="single"/>
        </w:rPr>
        <w:t>5.2.</w:t>
      </w:r>
      <w:r>
        <w:rPr>
          <w:rFonts w:hint="eastAsia" w:asciiTheme="minorEastAsia" w:hAnsiTheme="minorEastAsia"/>
          <w:bCs/>
          <w:snapToGrid w:val="0"/>
          <w:spacing w:val="8"/>
          <w:kern w:val="0"/>
          <w:u w:val="single"/>
        </w:rPr>
        <w:t>8</w:t>
      </w:r>
      <w:r>
        <w:rPr>
          <w:rFonts w:hint="eastAsia" w:asciiTheme="minorEastAsia" w:hAnsiTheme="minorEastAsia"/>
          <w:snapToGrid w:val="0"/>
          <w:spacing w:val="8"/>
          <w:kern w:val="0"/>
          <w:u w:val="single"/>
        </w:rPr>
        <w:t xml:space="preserve"> </w:t>
      </w: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眼科检查类型众多，应根据设备类型、科室运营服务确定检查室的空间与设备分布。</w:t>
      </w:r>
    </w:p>
    <w:p w14:paraId="762B2338">
      <w:pPr>
        <w:ind w:firstLine="480" w:firstLineChars="200"/>
        <w:rPr>
          <w:rFonts w:cs="宋体" w:asciiTheme="minorEastAsia" w:hAnsiTheme="minorEastAsia"/>
          <w:bCs/>
        </w:rPr>
      </w:pPr>
      <w:r>
        <w:rPr>
          <w:rFonts w:hint="eastAsia" w:asciiTheme="minorEastAsia" w:hAnsiTheme="minorEastAsia"/>
          <w:bCs/>
          <w:u w:val="single"/>
        </w:rPr>
        <w:t>2 眼科门诊手术室可独立设置，也可与日间手术中心合并设置。眼科门诊手术室宜设准备间、手术室、污物暂存间；手术室内配置配置无影灯、手术床、观片灯、医护工作站、空气消毒机、医用气体终端等；准分子激光手术室宜采用层流空气净化技术，需要达到局部百级要求。眼科门诊手术室宜配置能够灵活控制的冷热源。</w:t>
      </w:r>
    </w:p>
    <w:p w14:paraId="6FF314CD">
      <w:pPr>
        <w:spacing w:before="312" w:beforeLines="100"/>
        <w:rPr>
          <w:rFonts w:asciiTheme="minorEastAsia" w:hAnsiTheme="minorEastAsia"/>
          <w:bCs/>
          <w:snapToGrid w:val="0"/>
          <w:spacing w:val="8"/>
          <w:kern w:val="0"/>
          <w:u w:val="single"/>
        </w:rPr>
      </w:pPr>
      <w:r>
        <w:rPr>
          <w:rFonts w:asciiTheme="minorEastAsia" w:hAnsiTheme="minorEastAsia"/>
          <w:bCs/>
          <w:snapToGrid w:val="0"/>
          <w:spacing w:val="8"/>
          <w:kern w:val="0"/>
          <w:u w:val="single"/>
        </w:rPr>
        <w:t>5.2.</w:t>
      </w:r>
      <w:r>
        <w:rPr>
          <w:rFonts w:hint="eastAsia" w:asciiTheme="minorEastAsia" w:hAnsiTheme="minorEastAsia"/>
          <w:bCs/>
          <w:snapToGrid w:val="0"/>
          <w:spacing w:val="8"/>
          <w:kern w:val="0"/>
          <w:u w:val="single"/>
        </w:rPr>
        <w:t>9 1 口腔科通常采用诊位隔断式集中治疗大厅或独立单间的部署模式；采用诊位独立隔断空间的，通常单个牙椅空间宽度为2.6m-3.0m为宜，长度宜3.0-4.0m；</w:t>
      </w:r>
    </w:p>
    <w:p w14:paraId="5B71E73E">
      <w:pPr>
        <w:ind w:firstLine="480" w:firstLineChars="200"/>
        <w:rPr>
          <w:rFonts w:asciiTheme="minorEastAsia" w:hAnsiTheme="minorEastAsia"/>
          <w:bCs/>
          <w:u w:val="single"/>
        </w:rPr>
      </w:pPr>
      <w:r>
        <w:rPr>
          <w:rFonts w:hint="eastAsia" w:asciiTheme="minorEastAsia" w:hAnsiTheme="minorEastAsia"/>
          <w:bCs/>
          <w:u w:val="single"/>
        </w:rPr>
        <w:t>2 口腔科放射包括数字牙片机、全景机和CBCT三种类型，应根据需要确定放射设备类型和数量，并配置相应的防护等级和配电设施。</w:t>
      </w:r>
    </w:p>
    <w:p w14:paraId="3BC12F95">
      <w:pPr>
        <w:ind w:firstLine="480" w:firstLineChars="200"/>
        <w:rPr>
          <w:rFonts w:asciiTheme="minorEastAsia" w:hAnsiTheme="minorEastAsia"/>
          <w:bCs/>
          <w:u w:val="single"/>
        </w:rPr>
      </w:pPr>
      <w:r>
        <w:rPr>
          <w:rFonts w:hint="eastAsia" w:asciiTheme="minorEastAsia" w:hAnsiTheme="minorEastAsia"/>
          <w:bCs/>
          <w:u w:val="single"/>
        </w:rPr>
        <w:t>3 技工室设置应符合下列要求：</w:t>
      </w:r>
    </w:p>
    <w:p w14:paraId="7D4B3CD8">
      <w:pPr>
        <w:ind w:firstLine="480" w:firstLineChars="200"/>
        <w:rPr>
          <w:rFonts w:asciiTheme="minorEastAsia" w:hAnsiTheme="minorEastAsia"/>
          <w:bCs/>
          <w:u w:val="single"/>
        </w:rPr>
      </w:pPr>
      <w:r>
        <w:rPr>
          <w:rFonts w:hint="eastAsia" w:asciiTheme="minorEastAsia" w:hAnsiTheme="minorEastAsia"/>
          <w:bCs/>
          <w:u w:val="single"/>
        </w:rPr>
        <w:t>（1）房间应干燥、通风、避免阳光直射；</w:t>
      </w:r>
    </w:p>
    <w:p w14:paraId="4A6A22E1">
      <w:pPr>
        <w:ind w:firstLine="480" w:firstLineChars="200"/>
        <w:rPr>
          <w:rFonts w:asciiTheme="minorEastAsia" w:hAnsiTheme="minorEastAsia"/>
          <w:bCs/>
          <w:u w:val="single"/>
        </w:rPr>
      </w:pPr>
      <w:r>
        <w:rPr>
          <w:rFonts w:hint="eastAsia" w:asciiTheme="minorEastAsia" w:hAnsiTheme="minorEastAsia"/>
          <w:bCs/>
          <w:u w:val="single"/>
        </w:rPr>
        <w:t>（2）应采用易清洁的装修材料；</w:t>
      </w:r>
    </w:p>
    <w:p w14:paraId="64C8E7AE">
      <w:pPr>
        <w:ind w:firstLine="480" w:firstLineChars="200"/>
        <w:rPr>
          <w:rFonts w:asciiTheme="minorEastAsia" w:hAnsiTheme="minorEastAsia"/>
          <w:bCs/>
          <w:u w:val="single"/>
        </w:rPr>
      </w:pPr>
      <w:r>
        <w:rPr>
          <w:rFonts w:hint="eastAsia" w:asciiTheme="minorEastAsia" w:hAnsiTheme="minorEastAsia"/>
          <w:bCs/>
          <w:u w:val="single"/>
        </w:rPr>
        <w:t>（3）技工台上应合理部署电源插座及通风排风设备；</w:t>
      </w:r>
    </w:p>
    <w:p w14:paraId="0A6CE52A">
      <w:pPr>
        <w:ind w:firstLine="480" w:firstLineChars="200"/>
        <w:rPr>
          <w:rFonts w:asciiTheme="minorEastAsia" w:hAnsiTheme="minorEastAsia"/>
          <w:bCs/>
          <w:u w:val="single"/>
        </w:rPr>
      </w:pPr>
      <w:r>
        <w:rPr>
          <w:rFonts w:hint="eastAsia" w:asciiTheme="minorEastAsia" w:hAnsiTheme="minorEastAsia"/>
          <w:bCs/>
          <w:u w:val="single"/>
        </w:rPr>
        <w:t>（4）技工室应与诊室之间应快捷连接，且能够在单独从事工作时被完全分离开。</w:t>
      </w:r>
    </w:p>
    <w:p w14:paraId="0EA045C4">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模型室设施配置应符合下列要求：</w:t>
      </w:r>
    </w:p>
    <w:p w14:paraId="35A12AF3">
      <w:pPr>
        <w:ind w:firstLine="480" w:firstLineChars="200"/>
        <w:rPr>
          <w:rFonts w:asciiTheme="minorEastAsia" w:hAnsiTheme="minorEastAsia"/>
          <w:bCs/>
          <w:u w:val="single"/>
        </w:rPr>
      </w:pPr>
      <w:r>
        <w:rPr>
          <w:rFonts w:hint="eastAsia" w:asciiTheme="minorEastAsia" w:hAnsiTheme="minorEastAsia"/>
          <w:bCs/>
          <w:u w:val="single"/>
        </w:rPr>
        <w:t>（1）房间面积不应小于6m</w:t>
      </w:r>
      <w:r>
        <w:rPr>
          <w:rFonts w:cs="Calibri" w:asciiTheme="minorEastAsia" w:hAnsiTheme="minorEastAsia"/>
          <w:bCs/>
          <w:u w:val="single"/>
        </w:rPr>
        <w:t>²</w:t>
      </w:r>
      <w:r>
        <w:rPr>
          <w:rFonts w:hint="eastAsia" w:cs="仿宋" w:asciiTheme="minorEastAsia" w:hAnsiTheme="minorEastAsia"/>
          <w:bCs/>
          <w:u w:val="single"/>
        </w:rPr>
        <w:t>；</w:t>
      </w:r>
    </w:p>
    <w:p w14:paraId="02F96F58">
      <w:pPr>
        <w:ind w:firstLine="480" w:firstLineChars="200"/>
        <w:rPr>
          <w:rFonts w:asciiTheme="minorEastAsia" w:hAnsiTheme="minorEastAsia"/>
          <w:bCs/>
          <w:u w:val="single"/>
        </w:rPr>
      </w:pPr>
      <w:r>
        <w:rPr>
          <w:rFonts w:hint="eastAsia" w:asciiTheme="minorEastAsia" w:hAnsiTheme="minorEastAsia"/>
          <w:bCs/>
          <w:u w:val="single"/>
        </w:rPr>
        <w:t>（2）应设置带水池的石料台面的台边，下水道应粗而直，以防石膏堵塞，进入地下排水管之前应设石膏沉淀地，以沉淀石膏；</w:t>
      </w:r>
    </w:p>
    <w:p w14:paraId="363125E3">
      <w:pPr>
        <w:ind w:firstLine="480" w:firstLineChars="200"/>
        <w:rPr>
          <w:rFonts w:asciiTheme="minorEastAsia" w:hAnsiTheme="minorEastAsia"/>
          <w:bCs/>
          <w:u w:val="single"/>
        </w:rPr>
      </w:pPr>
      <w:r>
        <w:rPr>
          <w:rFonts w:hint="eastAsia" w:asciiTheme="minorEastAsia" w:hAnsiTheme="minorEastAsia"/>
          <w:bCs/>
          <w:u w:val="single"/>
        </w:rPr>
        <w:t>（3）室内应设壁柜，以存放石膏和模型。边台上放置石膏模型修整机、震荡器，抛光机等。</w:t>
      </w:r>
    </w:p>
    <w:p w14:paraId="168741AC">
      <w:pPr>
        <w:ind w:firstLine="480" w:firstLineChars="200"/>
        <w:rPr>
          <w:rFonts w:asciiTheme="minorEastAsia" w:hAnsiTheme="minorEastAsia"/>
          <w:bCs/>
          <w:u w:val="single"/>
        </w:rPr>
      </w:pPr>
      <w:r>
        <w:rPr>
          <w:rFonts w:hint="eastAsia" w:asciiTheme="minorEastAsia" w:hAnsiTheme="minorEastAsia"/>
          <w:bCs/>
          <w:u w:val="single"/>
        </w:rPr>
        <w:t>5</w:t>
      </w:r>
      <w:r>
        <w:rPr>
          <w:rFonts w:asciiTheme="minorEastAsia" w:hAnsiTheme="minorEastAsia"/>
          <w:bCs/>
          <w:u w:val="single"/>
        </w:rPr>
        <w:t xml:space="preserve"> </w:t>
      </w:r>
      <w:r>
        <w:rPr>
          <w:rFonts w:hint="eastAsia" w:asciiTheme="minorEastAsia" w:hAnsiTheme="minorEastAsia"/>
          <w:bCs/>
          <w:u w:val="single"/>
        </w:rPr>
        <w:t>清洗消毒室的应洁污分流，设置清洗台、真空脉动消毒器、传递窗、洁净物品存储柜等。</w:t>
      </w:r>
    </w:p>
    <w:p w14:paraId="5DEF238C">
      <w:pPr>
        <w:ind w:firstLine="480" w:firstLineChars="200"/>
        <w:rPr>
          <w:rFonts w:asciiTheme="minorEastAsia" w:hAnsiTheme="minorEastAsia"/>
          <w:bCs/>
          <w:u w:val="single"/>
        </w:rPr>
      </w:pPr>
      <w:r>
        <w:rPr>
          <w:rFonts w:hint="eastAsia" w:asciiTheme="minorEastAsia" w:hAnsiTheme="minorEastAsia"/>
          <w:bCs/>
          <w:u w:val="single"/>
        </w:rPr>
        <w:t>6</w:t>
      </w:r>
      <w:r>
        <w:rPr>
          <w:rFonts w:asciiTheme="minorEastAsia" w:hAnsiTheme="minorEastAsia"/>
          <w:bCs/>
          <w:u w:val="single"/>
        </w:rPr>
        <w:t xml:space="preserve"> </w:t>
      </w:r>
      <w:r>
        <w:rPr>
          <w:rFonts w:hint="eastAsia" w:asciiTheme="minorEastAsia" w:hAnsiTheme="minorEastAsia"/>
          <w:bCs/>
          <w:u w:val="single"/>
        </w:rPr>
        <w:t>种植门诊手术室设置应符合下列要求：</w:t>
      </w:r>
    </w:p>
    <w:p w14:paraId="3A339750">
      <w:pPr>
        <w:ind w:firstLine="480" w:firstLineChars="200"/>
        <w:rPr>
          <w:rFonts w:asciiTheme="minorEastAsia" w:hAnsiTheme="minorEastAsia"/>
          <w:bCs/>
          <w:u w:val="single"/>
        </w:rPr>
      </w:pPr>
      <w:r>
        <w:rPr>
          <w:rFonts w:hint="eastAsia" w:asciiTheme="minorEastAsia" w:hAnsiTheme="minorEastAsia"/>
          <w:bCs/>
          <w:u w:val="single"/>
        </w:rPr>
        <w:t>（1）种植手术间配备综合牙椅、无影灯、强吸设备、种植机、观片灯、空气消毒设施、急救用品和医用气体装置等，宜配置能够灵活控制的冷热源；</w:t>
      </w:r>
    </w:p>
    <w:p w14:paraId="6840AFA7">
      <w:pPr>
        <w:ind w:firstLine="480" w:firstLineChars="200"/>
        <w:rPr>
          <w:rFonts w:cs="宋体" w:asciiTheme="minorEastAsia" w:hAnsiTheme="minorEastAsia"/>
          <w:bCs/>
        </w:rPr>
      </w:pPr>
      <w:r>
        <w:rPr>
          <w:rFonts w:hint="eastAsia" w:asciiTheme="minorEastAsia" w:hAnsiTheme="minorEastAsia"/>
          <w:bCs/>
          <w:u w:val="single"/>
        </w:rPr>
        <w:t>（2）准备间用于医生洗手和更衣，应配置洗手设施和物品柜。</w:t>
      </w:r>
    </w:p>
    <w:p w14:paraId="149F8079">
      <w:pPr>
        <w:spacing w:before="312" w:beforeLines="100"/>
        <w:rPr>
          <w:rFonts w:asciiTheme="minorEastAsia" w:hAnsiTheme="minorEastAsia"/>
          <w:bCs/>
          <w:snapToGrid w:val="0"/>
          <w:spacing w:val="8"/>
          <w:kern w:val="0"/>
          <w:u w:val="single"/>
        </w:rPr>
      </w:pPr>
      <w:r>
        <w:rPr>
          <w:rFonts w:hint="eastAsia" w:asciiTheme="minorEastAsia" w:hAnsiTheme="minorEastAsia"/>
          <w:bCs/>
          <w:snapToGrid w:val="0"/>
          <w:spacing w:val="8"/>
          <w:kern w:val="0"/>
          <w:u w:val="single"/>
        </w:rPr>
        <w:t>5.2.9</w:t>
      </w:r>
      <w:r>
        <w:rPr>
          <w:rFonts w:asciiTheme="minorEastAsia" w:hAnsiTheme="minorEastAsia"/>
          <w:bCs/>
          <w:snapToGrid w:val="0"/>
          <w:spacing w:val="8"/>
          <w:kern w:val="0"/>
          <w:u w:val="single"/>
        </w:rPr>
        <w:t xml:space="preserve">A </w:t>
      </w:r>
      <w:r>
        <w:rPr>
          <w:rFonts w:hint="eastAsia" w:asciiTheme="minorEastAsia" w:hAnsiTheme="minorEastAsia"/>
          <w:bCs/>
          <w:snapToGrid w:val="0"/>
          <w:spacing w:val="8"/>
          <w:kern w:val="0"/>
          <w:u w:val="single"/>
        </w:rPr>
        <w:t>1 针灸治疗通常需要一个医生多个针灸治疗床和治疗椅，每床有良好的照明和隐私保护，有良好的通风设施；针灸治疗床通常为1.9m×0.75m,床侧配置一组两个强电插座。</w:t>
      </w:r>
    </w:p>
    <w:p w14:paraId="46105D86">
      <w:pPr>
        <w:ind w:firstLine="480" w:firstLineChars="200"/>
        <w:rPr>
          <w:rFonts w:asciiTheme="minorEastAsia" w:hAnsiTheme="minorEastAsia"/>
          <w:bCs/>
          <w:u w:val="single"/>
        </w:rPr>
      </w:pPr>
      <w:r>
        <w:rPr>
          <w:rFonts w:hint="eastAsia" w:asciiTheme="minorEastAsia" w:hAnsiTheme="minorEastAsia"/>
          <w:bCs/>
          <w:u w:val="single"/>
        </w:rPr>
        <w:t>2 专用的灸法治疗室需要进一步强化每床或每椅的排风装置和房间的补风措施。</w:t>
      </w:r>
    </w:p>
    <w:p w14:paraId="7CE0C707">
      <w:pPr>
        <w:ind w:firstLine="480" w:firstLineChars="200"/>
        <w:rPr>
          <w:rFonts w:asciiTheme="minorEastAsia" w:hAnsiTheme="minorEastAsia"/>
          <w:bCs/>
          <w:u w:val="single"/>
        </w:rPr>
      </w:pPr>
      <w:r>
        <w:rPr>
          <w:rFonts w:hint="eastAsia" w:asciiTheme="minorEastAsia" w:hAnsiTheme="minorEastAsia"/>
          <w:bCs/>
          <w:u w:val="single"/>
        </w:rPr>
        <w:t>3 推拿诊断和推拿治疗通常为一体化，一般每个诊室配置一个诊桌、两个推拿治疗床，每个推拿治疗床配置2个强电插座。</w:t>
      </w:r>
    </w:p>
    <w:p w14:paraId="56404037">
      <w:pPr>
        <w:ind w:firstLine="480" w:firstLineChars="200"/>
        <w:rPr>
          <w:rFonts w:asciiTheme="minorEastAsia" w:hAnsiTheme="minorEastAsia"/>
          <w:bCs/>
          <w:u w:val="single"/>
        </w:rPr>
      </w:pPr>
      <w:r>
        <w:rPr>
          <w:rFonts w:hint="eastAsia" w:asciiTheme="minorEastAsia" w:hAnsiTheme="minorEastAsia"/>
          <w:bCs/>
          <w:u w:val="single"/>
        </w:rPr>
        <w:t>4 针刀治疗室宜配备治疗床或手术床、观片灯、空气消毒设施、急救用品和医用气体装置等；针刀治疗准备间用于医生洗手和更衣，应配置洗手设施和物品柜。如有条件，宜配置术后恢复室，术后恢复室配置病床和医用气体终端。</w:t>
      </w:r>
    </w:p>
    <w:p w14:paraId="79EC74BD">
      <w:pPr>
        <w:ind w:firstLine="480" w:firstLineChars="200"/>
        <w:rPr>
          <w:rFonts w:asciiTheme="minorEastAsia" w:hAnsiTheme="minorEastAsia"/>
          <w:bCs/>
          <w:u w:val="single"/>
        </w:rPr>
      </w:pPr>
      <w:r>
        <w:rPr>
          <w:rFonts w:hint="eastAsia" w:asciiTheme="minorEastAsia" w:hAnsiTheme="minorEastAsia"/>
          <w:bCs/>
          <w:u w:val="single"/>
        </w:rPr>
        <w:t>5</w:t>
      </w:r>
      <w:r>
        <w:rPr>
          <w:rFonts w:asciiTheme="minorEastAsia" w:hAnsiTheme="minorEastAsia"/>
          <w:bCs/>
          <w:u w:val="single"/>
        </w:rPr>
        <w:t xml:space="preserve"> </w:t>
      </w:r>
      <w:r>
        <w:rPr>
          <w:rFonts w:hint="eastAsia" w:asciiTheme="minorEastAsia" w:hAnsiTheme="minorEastAsia"/>
          <w:bCs/>
          <w:u w:val="single"/>
        </w:rPr>
        <w:t>牵引治疗室、熏蒸治疗室应合理分布牵引治疗床、牵引治疗架、熏蒸治疗床，并配置相应的围帘和强电插座。</w:t>
      </w:r>
    </w:p>
    <w:p w14:paraId="7F47730A">
      <w:pPr>
        <w:ind w:firstLine="480" w:firstLineChars="200"/>
        <w:rPr>
          <w:rFonts w:cs="宋体" w:asciiTheme="minorEastAsia" w:hAnsiTheme="minorEastAsia"/>
          <w:bCs/>
          <w:u w:val="single"/>
        </w:rPr>
      </w:pPr>
      <w:r>
        <w:rPr>
          <w:rFonts w:hint="eastAsia" w:asciiTheme="minorEastAsia" w:hAnsiTheme="minorEastAsia"/>
          <w:bCs/>
          <w:u w:val="single"/>
        </w:rPr>
        <w:t>6 针灸治疗和牵引治疗等暴露身体的空间，应注意过渡季节采暖问题。</w:t>
      </w:r>
    </w:p>
    <w:p w14:paraId="7315348D">
      <w:pPr>
        <w:spacing w:before="312" w:beforeLines="100"/>
        <w:rPr>
          <w:rFonts w:asciiTheme="minorEastAsia" w:hAnsiTheme="minorEastAsia"/>
          <w:bCs/>
          <w:u w:val="single"/>
        </w:rPr>
      </w:pPr>
      <w:r>
        <w:rPr>
          <w:rFonts w:hint="eastAsia" w:cs="宋体" w:asciiTheme="minorEastAsia" w:hAnsiTheme="minorEastAsia"/>
          <w:bCs/>
          <w:u w:val="single"/>
        </w:rPr>
        <w:t>5.2.9</w:t>
      </w:r>
      <w:r>
        <w:rPr>
          <w:rFonts w:cs="宋体" w:asciiTheme="minorEastAsia" w:hAnsiTheme="minorEastAsia"/>
          <w:bCs/>
          <w:u w:val="single"/>
        </w:rPr>
        <w:t xml:space="preserve">B </w:t>
      </w:r>
      <w:r>
        <w:rPr>
          <w:rFonts w:hint="eastAsia" w:asciiTheme="minorEastAsia" w:hAnsiTheme="minorEastAsia"/>
          <w:bCs/>
          <w:u w:val="single"/>
        </w:rPr>
        <w:t>1 皮肤科应根据医院定位和专科诊疗内容确定功能空间，不同医疗机构差异较大；</w:t>
      </w:r>
    </w:p>
    <w:p w14:paraId="0F8DF10C">
      <w:pPr>
        <w:ind w:firstLine="480" w:firstLineChars="200"/>
        <w:rPr>
          <w:rFonts w:asciiTheme="minorEastAsia" w:hAnsiTheme="minorEastAsia"/>
          <w:bCs/>
          <w:u w:val="single"/>
        </w:rPr>
      </w:pPr>
      <w:r>
        <w:rPr>
          <w:rFonts w:hint="eastAsia" w:asciiTheme="minorEastAsia" w:hAnsiTheme="minorEastAsia"/>
          <w:bCs/>
          <w:u w:val="single"/>
        </w:rPr>
        <w:t xml:space="preserve">2 皮肤治疗室应配置空气消毒机； </w:t>
      </w:r>
    </w:p>
    <w:p w14:paraId="53651B85">
      <w:pPr>
        <w:ind w:firstLine="480" w:firstLineChars="200"/>
        <w:rPr>
          <w:rFonts w:asciiTheme="minorEastAsia" w:hAnsiTheme="minorEastAsia"/>
          <w:bCs/>
          <w:u w:val="single"/>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皮肤激光治疗类或其他需要烧灼组织治疗的，应配置不同类型的排风设施，并根据设备功率和数量配置不同类型和数量的强电插座；</w:t>
      </w:r>
    </w:p>
    <w:p w14:paraId="68DDA610">
      <w:pPr>
        <w:ind w:firstLine="480" w:firstLineChars="200"/>
        <w:rPr>
          <w:rFonts w:asciiTheme="minorEastAsia" w:hAnsiTheme="minorEastAsia"/>
          <w:bCs/>
          <w:u w:val="single"/>
        </w:rPr>
      </w:pPr>
      <w:r>
        <w:rPr>
          <w:rFonts w:hint="eastAsia" w:asciiTheme="minorEastAsia" w:hAnsiTheme="minorEastAsia"/>
          <w:bCs/>
          <w:u w:val="single"/>
        </w:rPr>
        <w:t>4 皮肤药浴、熏蒸等治疗空间，宜配置相应的更衣、淋浴、采暖等装置，配电应注意设备功率；</w:t>
      </w:r>
    </w:p>
    <w:p w14:paraId="1A38B178">
      <w:pPr>
        <w:ind w:firstLine="480" w:firstLineChars="200"/>
        <w:rPr>
          <w:rFonts w:asciiTheme="minorEastAsia" w:hAnsiTheme="minorEastAsia"/>
          <w:bCs/>
          <w:u w:val="single"/>
        </w:rPr>
      </w:pPr>
      <w:r>
        <w:rPr>
          <w:rFonts w:hint="eastAsia" w:asciiTheme="minorEastAsia" w:hAnsiTheme="minorEastAsia"/>
          <w:bCs/>
          <w:u w:val="single"/>
        </w:rPr>
        <w:t>5 需要暴露身体的皮肤治疗室，应注意隐私保护；</w:t>
      </w:r>
    </w:p>
    <w:p w14:paraId="0BFD1387">
      <w:pPr>
        <w:ind w:firstLine="480" w:firstLineChars="200"/>
        <w:rPr>
          <w:rFonts w:asciiTheme="minorEastAsia" w:hAnsiTheme="minorEastAsia"/>
          <w:bCs/>
          <w:u w:val="single"/>
        </w:rPr>
      </w:pPr>
      <w:r>
        <w:rPr>
          <w:rFonts w:hint="eastAsia" w:asciiTheme="minorEastAsia" w:hAnsiTheme="minorEastAsia"/>
          <w:bCs/>
          <w:u w:val="single"/>
        </w:rPr>
        <w:t>6 皮肤病理常规技术室参考病理科常规技术室设计新排风系统、废水回收装置和空气无害化处理装置。</w:t>
      </w:r>
    </w:p>
    <w:p w14:paraId="06E2C7BC">
      <w:pPr>
        <w:ind w:firstLine="480" w:firstLineChars="200"/>
        <w:rPr>
          <w:rFonts w:cs="宋体" w:asciiTheme="minorEastAsia" w:hAnsiTheme="minorEastAsia"/>
          <w:bCs/>
          <w:u w:val="single"/>
        </w:rPr>
      </w:pPr>
      <w:r>
        <w:rPr>
          <w:rFonts w:hint="eastAsia" w:asciiTheme="minorEastAsia" w:hAnsiTheme="minorEastAsia"/>
          <w:bCs/>
          <w:u w:val="single"/>
        </w:rPr>
        <w:t>7 皮肤外科手术室配置同门诊外科手术室，应配置准备间，如有条件宜配置术后恢复室。皮肤外科手术室宜配置能够灵活控制的冷热源。</w:t>
      </w:r>
    </w:p>
    <w:p w14:paraId="451538C9">
      <w:pPr>
        <w:spacing w:before="312" w:beforeLines="100"/>
        <w:rPr>
          <w:rFonts w:cs="宋体" w:asciiTheme="minorEastAsia" w:hAnsiTheme="minorEastAsia"/>
          <w:bCs/>
          <w:u w:val="single"/>
        </w:rPr>
      </w:pPr>
      <w:r>
        <w:rPr>
          <w:rFonts w:hint="eastAsia" w:cs="宋体" w:asciiTheme="minorEastAsia" w:hAnsiTheme="minorEastAsia"/>
          <w:bCs/>
          <w:u w:val="single"/>
        </w:rPr>
        <w:t>5.2.9</w:t>
      </w:r>
      <w:r>
        <w:rPr>
          <w:rFonts w:cs="宋体" w:asciiTheme="minorEastAsia" w:hAnsiTheme="minorEastAsia"/>
          <w:bCs/>
          <w:u w:val="single"/>
        </w:rPr>
        <w:t xml:space="preserve">C </w:t>
      </w:r>
      <w:r>
        <w:rPr>
          <w:rFonts w:hint="eastAsia" w:cs="宋体" w:asciiTheme="minorEastAsia" w:hAnsiTheme="minorEastAsia"/>
          <w:bCs/>
          <w:u w:val="single"/>
        </w:rPr>
        <w:t>1 医学美容科治疗室、手术室应配置空气消毒机；</w:t>
      </w:r>
    </w:p>
    <w:p w14:paraId="5A30476B">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激光治疗类空间，应配置不同类型的排风设施，并根据设备功率和数量配置不同类型和数量的强电插座；</w:t>
      </w:r>
    </w:p>
    <w:p w14:paraId="0930A9E4">
      <w:pPr>
        <w:ind w:firstLine="480" w:firstLineChars="200"/>
        <w:rPr>
          <w:rFonts w:asciiTheme="minorEastAsia" w:hAnsiTheme="minorEastAsia"/>
          <w:bCs/>
          <w:u w:val="single"/>
        </w:rPr>
      </w:pPr>
      <w:r>
        <w:rPr>
          <w:rFonts w:hint="eastAsia" w:asciiTheme="minorEastAsia" w:hAnsiTheme="minorEastAsia"/>
          <w:bCs/>
          <w:u w:val="single"/>
        </w:rPr>
        <w:t>3 需要暴露身体的治疗室，应注意隐私保护和过渡季节采暖问题；</w:t>
      </w:r>
    </w:p>
    <w:p w14:paraId="2AF25763">
      <w:pPr>
        <w:ind w:firstLine="480" w:firstLineChars="200"/>
        <w:rPr>
          <w:rFonts w:cs="宋体"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美容手术室配置同门诊外科手术室，应配置准备间，如有条件宜配置术后恢复室。手术室宜配置能够灵活控制的冷热源。</w:t>
      </w:r>
    </w:p>
    <w:p w14:paraId="2E0F365A">
      <w:pPr>
        <w:spacing w:before="312" w:beforeLines="100"/>
        <w:rPr>
          <w:rFonts w:cs="黑体" w:asciiTheme="minorEastAsia" w:hAnsiTheme="minorEastAsia"/>
          <w:spacing w:val="-4"/>
        </w:rPr>
      </w:pPr>
      <w:r>
        <w:rPr>
          <w:rFonts w:asciiTheme="minorEastAsia" w:hAnsiTheme="minorEastAsia"/>
          <w:bCs/>
          <w:snapToGrid w:val="0"/>
          <w:spacing w:val="8"/>
          <w:kern w:val="0"/>
        </w:rPr>
        <w:t>5.2.10</w:t>
      </w:r>
      <w:r>
        <w:rPr>
          <w:rFonts w:asciiTheme="minorEastAsia" w:hAnsiTheme="minorEastAsia"/>
          <w:bCs/>
        </w:rPr>
        <w:t xml:space="preserve"> </w:t>
      </w:r>
      <w:r>
        <w:rPr>
          <w:rFonts w:asciiTheme="minorEastAsia" w:hAnsiTheme="minorEastAsia"/>
          <w:bCs/>
          <w:bdr w:val="single" w:color="auto" w:sz="4" w:space="0"/>
        </w:rPr>
        <w:t>根据医院建设实践，门诊手术用房宜与手术部合并设置，其优点是便于管理，节约资源。</w:t>
      </w:r>
      <w:r>
        <w:rPr>
          <w:rFonts w:hint="eastAsia" w:asciiTheme="minorEastAsia" w:hAnsiTheme="minorEastAsia"/>
          <w:bCs/>
          <w:u w:val="single"/>
        </w:rPr>
        <w:t>门诊手术室可分散在各科设置，也可集中设置；采用集中设置的，宜与日间手术中心合并设置；手术室数量根据专科特点和手术流量确定，流程和设施应符合感控要求。集中设置的门诊手术室或日间手术中心，宜配置可独立控制的冷热源。</w:t>
      </w:r>
    </w:p>
    <w:p w14:paraId="18A4D5D1">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5.3 急诊部用房</w:t>
      </w:r>
    </w:p>
    <w:p w14:paraId="06AB7278">
      <w:pPr>
        <w:spacing w:before="312" w:beforeLines="100"/>
        <w:rPr>
          <w:rFonts w:asciiTheme="minorEastAsia" w:hAnsiTheme="minorEastAsia"/>
          <w:bCs/>
          <w:u w:val="single"/>
        </w:rPr>
      </w:pPr>
      <w:r>
        <w:rPr>
          <w:rFonts w:asciiTheme="minorEastAsia" w:hAnsiTheme="minorEastAsia"/>
          <w:bCs/>
          <w:snapToGrid w:val="0"/>
          <w:spacing w:val="8"/>
          <w:kern w:val="0"/>
        </w:rPr>
        <w:t>5.3.1</w:t>
      </w:r>
      <w:r>
        <w:rPr>
          <w:rFonts w:asciiTheme="minorEastAsia" w:hAnsiTheme="minorEastAsia"/>
          <w:snapToGrid w:val="0"/>
          <w:spacing w:val="8"/>
          <w:kern w:val="0"/>
        </w:rPr>
        <w:t xml:space="preserve"> </w:t>
      </w:r>
      <w:r>
        <w:rPr>
          <w:rFonts w:asciiTheme="minorEastAsia" w:hAnsiTheme="minorEastAsia"/>
          <w:bCs/>
          <w:bdr w:val="single" w:color="auto" w:sz="4" w:space="0"/>
        </w:rPr>
        <w:t>本条强调了急诊部在总体布局、与医院其他部门的联系、内部布局等方面的要求。门诊部和急诊部可共用部分医疗设施，大部分门</w:t>
      </w:r>
      <w:r>
        <w:rPr>
          <w:rFonts w:hint="eastAsia" w:asciiTheme="minorEastAsia" w:hAnsiTheme="minorEastAsia"/>
          <w:bCs/>
          <w:bdr w:val="single" w:color="auto" w:sz="4" w:space="0"/>
        </w:rPr>
        <w:t>诊</w:t>
      </w:r>
      <w:r>
        <w:rPr>
          <w:rFonts w:asciiTheme="minorEastAsia" w:hAnsiTheme="minorEastAsia"/>
          <w:bCs/>
          <w:bdr w:val="single" w:color="auto" w:sz="4" w:space="0"/>
        </w:rPr>
        <w:t>、急诊患者需要到医技科室进行检查和治疗，很多急诊患者需立即手术治疗，所以急诊部与门诊部、医技部、手术部等</w:t>
      </w:r>
      <w:r>
        <w:rPr>
          <w:rFonts w:hint="eastAsia" w:asciiTheme="minorEastAsia" w:hAnsiTheme="minorEastAsia"/>
          <w:bCs/>
          <w:bdr w:val="single" w:color="auto" w:sz="4" w:space="0"/>
        </w:rPr>
        <w:t>均</w:t>
      </w:r>
      <w:r>
        <w:rPr>
          <w:rFonts w:asciiTheme="minorEastAsia" w:hAnsiTheme="minorEastAsia"/>
          <w:bCs/>
          <w:bdr w:val="single" w:color="auto" w:sz="4" w:space="0"/>
        </w:rPr>
        <w:t>应有便捷的联系。此外，本条还反映了现代医院急诊部的新趋势，如为了应对病情轻重、性质不同的患者，而将急诊和急救分区设置，直升机停机坪与急诊部应有快捷通道等要求。</w:t>
      </w:r>
      <w:r>
        <w:rPr>
          <w:rFonts w:hint="eastAsia" w:asciiTheme="minorEastAsia" w:hAnsiTheme="minorEastAsia"/>
          <w:bCs/>
          <w:u w:val="single"/>
        </w:rPr>
        <w:t>急诊应独立设区，急救车停靠门厅能以最便捷的路线直达抢救室，若条件允许应与抢救室直接对接，沿途地面无障碍且有明显指引标志。承担灾害救援的医疗机构急诊部应当设立化学或其它毒物污染患者清洁处，并有专用的去污（喷淋）设施。</w:t>
      </w:r>
    </w:p>
    <w:p w14:paraId="7A531A44">
      <w:pPr>
        <w:ind w:firstLine="480" w:firstLineChars="200"/>
        <w:rPr>
          <w:rFonts w:asciiTheme="minorEastAsia" w:hAnsiTheme="minorEastAsia"/>
          <w:bCs/>
          <w:u w:val="single"/>
        </w:rPr>
      </w:pPr>
      <w:r>
        <w:rPr>
          <w:rFonts w:hint="eastAsia" w:asciiTheme="minorEastAsia" w:hAnsiTheme="minorEastAsia"/>
          <w:bCs/>
          <w:u w:val="single"/>
        </w:rPr>
        <w:t>急诊一般可分为公共区域、急诊诊疗区、急救区、留观输液区、急诊病房区和医辅工作区，其中急诊病房区可在急诊区域设置，也可在住院部设置由急诊管理。急诊病房也可与留观区域合并设置。</w:t>
      </w:r>
    </w:p>
    <w:p w14:paraId="61239724">
      <w:pPr>
        <w:ind w:firstLine="480" w:firstLineChars="200"/>
        <w:rPr>
          <w:rFonts w:asciiTheme="minorEastAsia" w:hAnsiTheme="minorEastAsia"/>
          <w:bCs/>
          <w:u w:val="single"/>
        </w:rPr>
      </w:pPr>
      <w:r>
        <w:rPr>
          <w:rFonts w:hint="eastAsia" w:asciiTheme="minorEastAsia" w:hAnsiTheme="minorEastAsia"/>
          <w:bCs/>
          <w:u w:val="single"/>
        </w:rPr>
        <w:t>门诊部和急诊部可共用部分医疗设施，大部分门诊、急诊患者需要到医技科室进行检查和治疗，很多急诊患者需立即手术治疗，所以急诊部与门诊部、医技部、手术部等均应有便捷的联系。此外，本条还反映了现代医院急诊部的新趋势，如为了应对病情轻重、性质不同的患者，而将急诊和急救分区设置，直升机停机坪与急诊部应有快捷通道等要求。</w:t>
      </w:r>
    </w:p>
    <w:p w14:paraId="2D6A2469">
      <w:pPr>
        <w:ind w:firstLine="480" w:firstLineChars="200"/>
        <w:rPr>
          <w:rFonts w:cs="黑体" w:asciiTheme="minorEastAsia" w:hAnsiTheme="minorEastAsia"/>
          <w:spacing w:val="-4"/>
          <w:u w:val="single"/>
        </w:rPr>
      </w:pPr>
      <w:r>
        <w:rPr>
          <w:rFonts w:hint="eastAsia" w:asciiTheme="minorEastAsia" w:hAnsiTheme="minorEastAsia"/>
          <w:bCs/>
          <w:u w:val="single"/>
        </w:rPr>
        <w:t>设立120分站或120救护中心的医院，应根据定位在急诊区域或邻近急诊区域建立120救护调度、办公、值班、车库等功能用房。</w:t>
      </w:r>
    </w:p>
    <w:p w14:paraId="5C038BF0">
      <w:pPr>
        <w:spacing w:before="312" w:beforeLines="100"/>
        <w:rPr>
          <w:rFonts w:asciiTheme="minorEastAsia" w:hAnsiTheme="minorEastAsia"/>
          <w:bCs/>
          <w:u w:val="single"/>
        </w:rPr>
      </w:pPr>
      <w:r>
        <w:rPr>
          <w:rFonts w:asciiTheme="minorEastAsia" w:hAnsiTheme="minorEastAsia"/>
          <w:bCs/>
          <w:snapToGrid w:val="0"/>
          <w:spacing w:val="8"/>
          <w:kern w:val="0"/>
          <w:u w:val="single"/>
        </w:rPr>
        <w:t>5.3.</w:t>
      </w:r>
      <w:r>
        <w:rPr>
          <w:rFonts w:hint="eastAsia" w:asciiTheme="minorEastAsia" w:hAnsiTheme="minorEastAsia"/>
          <w:bCs/>
          <w:snapToGrid w:val="0"/>
          <w:spacing w:val="8"/>
          <w:kern w:val="0"/>
          <w:u w:val="single"/>
        </w:rPr>
        <w:t>2</w:t>
      </w:r>
      <w:r>
        <w:rPr>
          <w:rFonts w:asciiTheme="minorEastAsia" w:hAnsiTheme="minorEastAsia"/>
          <w:snapToGrid w:val="0"/>
          <w:spacing w:val="8"/>
          <w:kern w:val="0"/>
          <w:u w:val="single"/>
        </w:rPr>
        <w:t xml:space="preserve"> </w:t>
      </w:r>
      <w:r>
        <w:rPr>
          <w:rFonts w:hint="eastAsia" w:asciiTheme="minorEastAsia" w:hAnsiTheme="minorEastAsia"/>
          <w:bCs/>
          <w:u w:val="single"/>
        </w:rPr>
        <w:t>急诊部</w:t>
      </w:r>
      <w:r>
        <w:rPr>
          <w:rFonts w:asciiTheme="minorEastAsia" w:hAnsiTheme="minorEastAsia"/>
          <w:bCs/>
          <w:u w:val="single"/>
        </w:rPr>
        <w:t>要求标识明显，</w:t>
      </w:r>
      <w:r>
        <w:rPr>
          <w:rFonts w:hint="eastAsia" w:asciiTheme="minorEastAsia" w:hAnsiTheme="minorEastAsia"/>
          <w:bCs/>
          <w:u w:val="single"/>
        </w:rPr>
        <w:t>急救要</w:t>
      </w:r>
      <w:r>
        <w:rPr>
          <w:rFonts w:asciiTheme="minorEastAsia" w:hAnsiTheme="minorEastAsia"/>
          <w:bCs/>
          <w:u w:val="single"/>
        </w:rPr>
        <w:t>求形成绿色通道。</w:t>
      </w:r>
      <w:r>
        <w:rPr>
          <w:rFonts w:hint="eastAsia" w:asciiTheme="minorEastAsia" w:hAnsiTheme="minorEastAsia"/>
          <w:bCs/>
          <w:u w:val="single"/>
        </w:rPr>
        <w:t>急诊应分级分区管理，急诊病患通常分“四级”。所谓“四级”，是按照医生对病人病情的评估结果来划分：一级是濒危病人，二级是危重病人，三级是急症病人，四级是非急症病人。急诊科划分的三区中，“红区”为抢救监护区，适用于救治一级和二级病人；黄区的主要功能是密切观察，适用于三级病人；“绿区”相对安全一些，是四级病人的诊疗区域。</w:t>
      </w:r>
    </w:p>
    <w:p w14:paraId="0F1C4E15">
      <w:pPr>
        <w:spacing w:before="312" w:beforeLines="100"/>
        <w:rPr>
          <w:rFonts w:asciiTheme="minorEastAsia" w:hAnsiTheme="minorEastAsia"/>
          <w:bCs/>
          <w:u w:val="single"/>
        </w:rPr>
      </w:pPr>
      <w:r>
        <w:rPr>
          <w:rFonts w:hint="eastAsia" w:cs="宋体" w:asciiTheme="minorEastAsia" w:hAnsiTheme="minorEastAsia"/>
          <w:bCs/>
          <w:kern w:val="0"/>
          <w:u w:val="single"/>
        </w:rPr>
        <w:t>5.3.</w:t>
      </w:r>
      <w:r>
        <w:rPr>
          <w:rFonts w:cs="宋体" w:asciiTheme="minorEastAsia" w:hAnsiTheme="minorEastAsia"/>
          <w:bCs/>
          <w:kern w:val="0"/>
          <w:u w:val="single"/>
        </w:rPr>
        <w:t xml:space="preserve">4 </w:t>
      </w: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不同等级的医院对急诊抢救室抢救单元的数量有不同的规范要求，同时不同区域的二三级医院对急诊抢救的需求差异较大，需要根据实际情况确定。</w:t>
      </w:r>
    </w:p>
    <w:p w14:paraId="4BEC3194">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抢救室每床宜设置氧气、吸引终端≥2套/床，配置压缩空气终端，多功能电源插座不少于5套/床。提供充足照明光源，具有不同输送的二路供电，配置应急电源设备。其中UPS应急电源仅用于生命支持类设备，建议每床配置不少于4个红色插座，联入UPS，保证每床两路供电。</w:t>
      </w:r>
    </w:p>
    <w:p w14:paraId="3F36CC37">
      <w:pPr>
        <w:ind w:firstLine="480" w:firstLineChars="200"/>
        <w:rPr>
          <w:rFonts w:asciiTheme="minorEastAsia" w:hAnsiTheme="minorEastAsia"/>
          <w:bCs/>
          <w:u w:val="single"/>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抢救室配套的治疗室、处置室可独立设置，也可与EICU、留观室合并设置。应注意病患污物的处理设施。</w:t>
      </w:r>
    </w:p>
    <w:p w14:paraId="34451E77">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应根据医院急诊流量及是否设置了创伤中心，确定设立急诊手术室及手术室数量。空间不足时，至少应设置急诊清创室。</w:t>
      </w:r>
    </w:p>
    <w:p w14:paraId="5AAE95D1">
      <w:pPr>
        <w:ind w:firstLine="480" w:firstLineChars="200"/>
        <w:rPr>
          <w:rFonts w:asciiTheme="minorEastAsia" w:hAnsiTheme="minorEastAsia"/>
          <w:bCs/>
          <w:u w:val="single"/>
        </w:rPr>
      </w:pPr>
      <w:r>
        <w:rPr>
          <w:rFonts w:hint="eastAsia" w:asciiTheme="minorEastAsia" w:hAnsiTheme="minorEastAsia"/>
          <w:bCs/>
          <w:u w:val="single"/>
        </w:rPr>
        <w:t>5</w:t>
      </w:r>
      <w:r>
        <w:rPr>
          <w:rFonts w:asciiTheme="minorEastAsia" w:hAnsiTheme="minorEastAsia"/>
          <w:bCs/>
          <w:u w:val="single"/>
        </w:rPr>
        <w:t xml:space="preserve"> </w:t>
      </w:r>
      <w:r>
        <w:rPr>
          <w:rFonts w:hint="eastAsia" w:asciiTheme="minorEastAsia" w:hAnsiTheme="minorEastAsia"/>
          <w:bCs/>
          <w:u w:val="single"/>
        </w:rPr>
        <w:t>洗胃室设置应符合下列要求：</w:t>
      </w:r>
    </w:p>
    <w:p w14:paraId="76B663EA">
      <w:pPr>
        <w:ind w:firstLine="480" w:firstLineChars="200"/>
        <w:rPr>
          <w:rFonts w:asciiTheme="minorEastAsia" w:hAnsiTheme="minorEastAsia"/>
          <w:bCs/>
          <w:u w:val="single"/>
        </w:rPr>
      </w:pPr>
      <w:r>
        <w:rPr>
          <w:rFonts w:hint="eastAsia" w:asciiTheme="minorEastAsia" w:hAnsiTheme="minorEastAsia"/>
          <w:bCs/>
          <w:u w:val="single"/>
        </w:rPr>
        <w:t>（1）应在抢救室内独立设置；</w:t>
      </w:r>
    </w:p>
    <w:p w14:paraId="4E2404EA">
      <w:pPr>
        <w:ind w:firstLine="480" w:firstLineChars="200"/>
        <w:rPr>
          <w:rFonts w:asciiTheme="minorEastAsia" w:hAnsiTheme="minorEastAsia"/>
          <w:bCs/>
          <w:u w:val="single"/>
        </w:rPr>
      </w:pPr>
      <w:r>
        <w:rPr>
          <w:rFonts w:hint="eastAsia" w:asciiTheme="minorEastAsia" w:hAnsiTheme="minorEastAsia"/>
          <w:bCs/>
          <w:u w:val="single"/>
        </w:rPr>
        <w:t>（2）应直通抢救大厅，门的净宽不应小于1.2m；设置移门时，门的净宽不应小于1.4m；</w:t>
      </w:r>
    </w:p>
    <w:p w14:paraId="56DD570E">
      <w:pPr>
        <w:ind w:firstLine="480" w:firstLineChars="200"/>
        <w:rPr>
          <w:rFonts w:asciiTheme="minorEastAsia" w:hAnsiTheme="minorEastAsia"/>
          <w:bCs/>
          <w:u w:val="single"/>
        </w:rPr>
      </w:pPr>
      <w:r>
        <w:rPr>
          <w:rFonts w:hint="eastAsia" w:asciiTheme="minorEastAsia" w:hAnsiTheme="minorEastAsia"/>
          <w:bCs/>
          <w:u w:val="single"/>
        </w:rPr>
        <w:t>（3）应考虑充足的冷热水供应和良好的排水设施。</w:t>
      </w:r>
    </w:p>
    <w:p w14:paraId="046189F5">
      <w:pPr>
        <w:ind w:firstLine="480" w:firstLineChars="200"/>
        <w:rPr>
          <w:rFonts w:asciiTheme="minorEastAsia" w:hAnsiTheme="minorEastAsia"/>
          <w:bCs/>
          <w:u w:val="single"/>
        </w:rPr>
      </w:pPr>
      <w:r>
        <w:rPr>
          <w:rFonts w:hint="eastAsia" w:asciiTheme="minorEastAsia" w:hAnsiTheme="minorEastAsia"/>
          <w:bCs/>
          <w:u w:val="single"/>
        </w:rPr>
        <w:t xml:space="preserve">（4）每床应配置普通电源插座、UPS电源插座、网络插座、医疗气体终端（氧气、吸引、压缩空气）； </w:t>
      </w:r>
    </w:p>
    <w:p w14:paraId="2CF635A0">
      <w:pPr>
        <w:ind w:firstLine="480" w:firstLineChars="200"/>
        <w:rPr>
          <w:rFonts w:asciiTheme="minorEastAsia" w:hAnsiTheme="minorEastAsia"/>
          <w:bCs/>
          <w:u w:val="single"/>
        </w:rPr>
      </w:pPr>
      <w:r>
        <w:rPr>
          <w:rFonts w:hint="eastAsia" w:asciiTheme="minorEastAsia" w:hAnsiTheme="minorEastAsia"/>
          <w:bCs/>
          <w:u w:val="single"/>
        </w:rPr>
        <w:t>（5）可采用循环风紫外线空气消毒器或静电吸附式空气消毒器或其它获得消毒产品卫生许可批件的空气消毒器，并应配置新排风系统。</w:t>
      </w:r>
    </w:p>
    <w:p w14:paraId="7C7408BF">
      <w:pPr>
        <w:ind w:firstLine="480" w:firstLineChars="200"/>
        <w:rPr>
          <w:rFonts w:asciiTheme="minorEastAsia" w:hAnsiTheme="minorEastAsia"/>
          <w:bCs/>
          <w:u w:val="single"/>
        </w:rPr>
      </w:pPr>
      <w:r>
        <w:rPr>
          <w:rFonts w:hint="eastAsia" w:asciiTheme="minorEastAsia" w:hAnsiTheme="minorEastAsia"/>
          <w:bCs/>
          <w:u w:val="single"/>
        </w:rPr>
        <w:t>6</w:t>
      </w:r>
      <w:r>
        <w:rPr>
          <w:rFonts w:asciiTheme="minorEastAsia" w:hAnsiTheme="minorEastAsia"/>
          <w:bCs/>
          <w:u w:val="single"/>
        </w:rPr>
        <w:t xml:space="preserve"> </w:t>
      </w:r>
      <w:r>
        <w:rPr>
          <w:rFonts w:hint="eastAsia" w:asciiTheme="minorEastAsia" w:hAnsiTheme="minorEastAsia"/>
          <w:bCs/>
          <w:u w:val="single"/>
        </w:rPr>
        <w:t>急诊手术室设施配置应符合下列要求：</w:t>
      </w:r>
    </w:p>
    <w:p w14:paraId="0A808E7C">
      <w:pPr>
        <w:ind w:firstLine="480" w:firstLineChars="200"/>
        <w:rPr>
          <w:rFonts w:asciiTheme="minorEastAsia" w:hAnsiTheme="minorEastAsia"/>
          <w:bCs/>
          <w:u w:val="single"/>
        </w:rPr>
      </w:pPr>
      <w:r>
        <w:rPr>
          <w:rFonts w:hint="eastAsia" w:asciiTheme="minorEastAsia" w:hAnsiTheme="minorEastAsia"/>
          <w:bCs/>
          <w:u w:val="single"/>
        </w:rPr>
        <w:t>（1）急诊手术室应符合感控要求，做到洁污分明；设置员工通道、病人通道、污物通道，如无污物通道的，宜设污物暂存间；宜设置员工更衣、手术准备间、设备间等。</w:t>
      </w:r>
    </w:p>
    <w:p w14:paraId="00E6F1B5">
      <w:pPr>
        <w:ind w:firstLine="480" w:firstLineChars="200"/>
        <w:rPr>
          <w:rFonts w:asciiTheme="minorEastAsia" w:hAnsiTheme="minorEastAsia"/>
          <w:bCs/>
          <w:u w:val="single"/>
        </w:rPr>
      </w:pPr>
      <w:r>
        <w:rPr>
          <w:rFonts w:hint="eastAsia" w:asciiTheme="minorEastAsia" w:hAnsiTheme="minorEastAsia"/>
          <w:bCs/>
          <w:u w:val="single"/>
        </w:rPr>
        <w:t>（2）应配置无影灯吊塔、手术床，配置空气消毒装置和可灵活控制的冷热源。</w:t>
      </w:r>
    </w:p>
    <w:p w14:paraId="36D36B3F">
      <w:pPr>
        <w:ind w:firstLine="480" w:firstLineChars="200"/>
        <w:rPr>
          <w:rFonts w:asciiTheme="minorEastAsia" w:hAnsiTheme="minorEastAsia"/>
          <w:bCs/>
          <w:u w:val="single"/>
        </w:rPr>
      </w:pPr>
      <w:r>
        <w:rPr>
          <w:rFonts w:hint="eastAsia" w:asciiTheme="minorEastAsia" w:hAnsiTheme="minorEastAsia"/>
          <w:bCs/>
          <w:u w:val="single"/>
        </w:rPr>
        <w:t>（3）可采用循环风紫外线空气消毒器或静电吸附式空气消毒器或其它获得消毒产品卫生许可批件的空气消毒器，并应设新排风系统。</w:t>
      </w:r>
    </w:p>
    <w:p w14:paraId="67C61618">
      <w:pPr>
        <w:ind w:firstLine="480" w:firstLineChars="200"/>
        <w:rPr>
          <w:rFonts w:asciiTheme="minorEastAsia" w:hAnsiTheme="minorEastAsia"/>
          <w:bCs/>
          <w:u w:val="single"/>
        </w:rPr>
      </w:pPr>
      <w:r>
        <w:rPr>
          <w:rFonts w:asciiTheme="minorEastAsia" w:hAnsiTheme="minorEastAsia"/>
          <w:bCs/>
          <w:u w:val="single"/>
        </w:rPr>
        <w:t>7</w:t>
      </w:r>
      <w:r>
        <w:rPr>
          <w:rFonts w:hint="eastAsia" w:asciiTheme="minorEastAsia" w:hAnsiTheme="minorEastAsia"/>
          <w:bCs/>
          <w:u w:val="single"/>
        </w:rPr>
        <w:t xml:space="preserve"> 建立胸痛中心的医院应毗邻抢救室设立胸痛诊室，建立胸痛急救绿色通道。能够开展24小时床旁心电图和超声心动图检查、肌钙蛋白和D-二聚体等快速检测。能够24小时开展主动脉、肺动脉及冠状动脉的急诊CT血管造影检查。具备开展急性心肌梗塞、急性主动脉夹层等疾病的急诊介入检查、介入治疗和外科手术的相关条件，或与具备条件的医院建立转诊机制。</w:t>
      </w:r>
    </w:p>
    <w:p w14:paraId="354A8397">
      <w:pPr>
        <w:ind w:firstLine="480" w:firstLineChars="200"/>
        <w:rPr>
          <w:rFonts w:asciiTheme="minorEastAsia" w:hAnsiTheme="minorEastAsia"/>
          <w:bCs/>
          <w:u w:val="single"/>
        </w:rPr>
      </w:pPr>
      <w:r>
        <w:rPr>
          <w:rFonts w:asciiTheme="minorEastAsia" w:hAnsiTheme="minorEastAsia"/>
          <w:bCs/>
          <w:u w:val="single"/>
        </w:rPr>
        <w:t>8</w:t>
      </w:r>
      <w:r>
        <w:rPr>
          <w:rFonts w:hint="eastAsia" w:asciiTheme="minorEastAsia" w:hAnsiTheme="minorEastAsia"/>
          <w:bCs/>
          <w:u w:val="single"/>
        </w:rPr>
        <w:t xml:space="preserve"> 建立卒中中心的医院应毗邻抢救室设立卒中诊室，设立卒中急救绿色通道，能够就近进行CT或MRI检查，可开展CT和MRI的灌注成像、血管成像等检查，能够进行全脑血管造影（24小时/7天）和血管功能评估，能够进行溶栓或介入取栓术。与本地区急救中心保持密切联系，对于转诊而至的脑血管病急诊患者及时接收、有效处置。</w:t>
      </w:r>
    </w:p>
    <w:p w14:paraId="06A70EC7">
      <w:pPr>
        <w:ind w:firstLine="480" w:firstLineChars="200"/>
        <w:rPr>
          <w:rFonts w:asciiTheme="minorEastAsia" w:hAnsiTheme="minorEastAsia"/>
          <w:bCs/>
          <w:u w:val="single"/>
        </w:rPr>
      </w:pPr>
      <w:r>
        <w:rPr>
          <w:rFonts w:hint="eastAsia" w:asciiTheme="minorEastAsia" w:hAnsiTheme="minorEastAsia"/>
          <w:bCs/>
          <w:u w:val="single"/>
        </w:rPr>
        <w:t>9</w:t>
      </w:r>
      <w:r>
        <w:rPr>
          <w:rFonts w:asciiTheme="minorEastAsia" w:hAnsiTheme="minorEastAsia"/>
          <w:bCs/>
          <w:u w:val="single"/>
        </w:rPr>
        <w:t xml:space="preserve"> </w:t>
      </w:r>
      <w:r>
        <w:rPr>
          <w:rFonts w:hint="eastAsia" w:asciiTheme="minorEastAsia" w:hAnsiTheme="minorEastAsia"/>
          <w:bCs/>
          <w:u w:val="single"/>
        </w:rPr>
        <w:t>建立创伤救治中心的医院应有配套的急诊清创室、急诊手术室及急诊创伤外科病房等功能；建立院前救治与院内救治之间的无缝衔接流程，经院前急救中心（站）救护车转运和基层转诊的严重创伤患者，到达医院后直接送达创伤复苏单元、重症监护室，必要时可直接送达手术室。创伤中心能够快速完成创伤重点超声评估（FAST）、胸片、骨盆X线检查、全身快速 CT检查、血管造影等检查、力争做到介入时间及手术时间提前，特殊患者能够在 1 小时内实施急诊手术。</w:t>
      </w:r>
    </w:p>
    <w:p w14:paraId="51EE9061">
      <w:pPr>
        <w:ind w:firstLine="480" w:firstLineChars="200"/>
        <w:rPr>
          <w:rFonts w:asciiTheme="minorEastAsia" w:hAnsiTheme="minorEastAsia"/>
          <w:bCs/>
          <w:u w:val="single"/>
        </w:rPr>
      </w:pPr>
      <w:r>
        <w:rPr>
          <w:rFonts w:hint="eastAsia" w:asciiTheme="minorEastAsia" w:hAnsiTheme="minorEastAsia"/>
          <w:bCs/>
          <w:u w:val="single"/>
        </w:rPr>
        <w:t>1</w:t>
      </w:r>
      <w:r>
        <w:rPr>
          <w:rFonts w:asciiTheme="minorEastAsia" w:hAnsiTheme="minorEastAsia"/>
          <w:bCs/>
          <w:u w:val="single"/>
        </w:rPr>
        <w:t xml:space="preserve">0 </w:t>
      </w:r>
      <w:r>
        <w:rPr>
          <w:rFonts w:hint="eastAsia" w:asciiTheme="minorEastAsia" w:hAnsiTheme="minorEastAsia"/>
          <w:bCs/>
          <w:u w:val="single"/>
        </w:rPr>
        <w:t>建立危重症孕产妇救治中心、危重症新生儿救治中心的医院，急诊应建立醒目的导视标识，并有相应的应急救治功能空间和转运持续救治绿色通道。</w:t>
      </w:r>
    </w:p>
    <w:p w14:paraId="4825B9E5">
      <w:pPr>
        <w:ind w:firstLine="480" w:firstLineChars="200"/>
        <w:rPr>
          <w:rFonts w:cs="黑体" w:asciiTheme="minorEastAsia" w:hAnsiTheme="minorEastAsia"/>
          <w:spacing w:val="-4"/>
          <w:u w:val="single"/>
        </w:rPr>
      </w:pPr>
      <w:r>
        <w:rPr>
          <w:rFonts w:hint="eastAsia" w:asciiTheme="minorEastAsia" w:hAnsiTheme="minorEastAsia"/>
          <w:bCs/>
          <w:u w:val="single"/>
        </w:rPr>
        <w:t>1</w:t>
      </w:r>
      <w:r>
        <w:rPr>
          <w:rFonts w:asciiTheme="minorEastAsia" w:hAnsiTheme="minorEastAsia"/>
          <w:bCs/>
          <w:u w:val="single"/>
        </w:rPr>
        <w:t xml:space="preserve">1 </w:t>
      </w:r>
      <w:r>
        <w:rPr>
          <w:rFonts w:hint="eastAsia" w:asciiTheme="minorEastAsia" w:hAnsiTheme="minorEastAsia"/>
          <w:bCs/>
          <w:u w:val="single"/>
        </w:rPr>
        <w:t>抢救室应设立新排风系统，保证灵活的换气，具备全新风直流运行条件。</w:t>
      </w:r>
    </w:p>
    <w:p w14:paraId="6A596C2B">
      <w:pPr>
        <w:spacing w:before="312" w:beforeLines="100"/>
        <w:rPr>
          <w:rFonts w:asciiTheme="minorEastAsia" w:hAnsiTheme="minorEastAsia"/>
          <w:bCs/>
          <w:u w:val="single"/>
        </w:rPr>
      </w:pPr>
      <w:r>
        <w:rPr>
          <w:rFonts w:hint="eastAsia" w:cs="宋体" w:asciiTheme="minorEastAsia" w:hAnsiTheme="minorEastAsia"/>
          <w:bCs/>
          <w:kern w:val="0"/>
          <w:u w:val="single"/>
        </w:rPr>
        <w:t>5.3.5</w:t>
      </w:r>
      <w:r>
        <w:rPr>
          <w:rFonts w:cs="宋体" w:asciiTheme="minorEastAsia" w:hAnsiTheme="minorEastAsia"/>
          <w:bCs/>
          <w:kern w:val="0"/>
          <w:u w:val="single"/>
        </w:rPr>
        <w:t xml:space="preserve"> </w:t>
      </w:r>
      <w:r>
        <w:rPr>
          <w:rFonts w:hint="eastAsia" w:asciiTheme="minorEastAsia" w:hAnsiTheme="minorEastAsia"/>
          <w:bCs/>
          <w:u w:val="single"/>
        </w:rPr>
        <w:t>重症监护床均面积应≥25m</w:t>
      </w:r>
      <w:r>
        <w:rPr>
          <w:rFonts w:cs="Calibri" w:asciiTheme="minorEastAsia" w:hAnsiTheme="minorEastAsia"/>
          <w:bCs/>
          <w:u w:val="single"/>
        </w:rPr>
        <w:t>²</w:t>
      </w:r>
      <w:r>
        <w:rPr>
          <w:rFonts w:hint="eastAsia" w:asciiTheme="minorEastAsia" w:hAnsiTheme="minorEastAsia"/>
          <w:bCs/>
          <w:u w:val="single"/>
        </w:rPr>
        <w:t>，监护区域床均面积应≥15m</w:t>
      </w:r>
      <w:r>
        <w:rPr>
          <w:rFonts w:cs="Calibri" w:asciiTheme="minorEastAsia" w:hAnsiTheme="minorEastAsia"/>
          <w:bCs/>
          <w:u w:val="single"/>
        </w:rPr>
        <w:t>²</w:t>
      </w:r>
      <w:r>
        <w:rPr>
          <w:rFonts w:hint="eastAsia" w:asciiTheme="minorEastAsia" w:hAnsiTheme="minorEastAsia"/>
          <w:bCs/>
          <w:u w:val="single"/>
        </w:rPr>
        <w:t>，单间面积宜≥18m</w:t>
      </w:r>
      <w:r>
        <w:rPr>
          <w:rFonts w:cs="Calibri" w:asciiTheme="minorEastAsia" w:hAnsiTheme="minorEastAsia"/>
          <w:bCs/>
          <w:u w:val="single"/>
        </w:rPr>
        <w:t>²</w:t>
      </w:r>
      <w:r>
        <w:rPr>
          <w:rFonts w:hint="eastAsia" w:asciiTheme="minorEastAsia" w:hAnsiTheme="minorEastAsia"/>
          <w:bCs/>
          <w:u w:val="single"/>
        </w:rPr>
        <w:t>，隔离单间应设缓冲前室。EICU单独设置时宜优先考虑紧邻抢救室，可扩大抢救室的接待能力和方便转运。急诊重症监护室监护床应能方便移动，确保四周都有空间的余地，平行排列床位的间距应≥1.5m，监护床沿与墙面的距离应≥1m，床与床之间应设置分隔帘。</w:t>
      </w:r>
    </w:p>
    <w:p w14:paraId="03978FA2">
      <w:pPr>
        <w:ind w:firstLine="480" w:firstLineChars="200"/>
        <w:rPr>
          <w:rFonts w:asciiTheme="minorEastAsia" w:hAnsiTheme="minorEastAsia"/>
          <w:bCs/>
          <w:u w:val="single"/>
        </w:rPr>
      </w:pPr>
      <w:r>
        <w:rPr>
          <w:rFonts w:hint="eastAsia" w:asciiTheme="minorEastAsia" w:hAnsiTheme="minorEastAsia"/>
          <w:bCs/>
          <w:u w:val="single"/>
        </w:rPr>
        <w:t>EICU每床宜设置氧气、吸引终端≥2套/床，配置压缩空气终端，多功能电源插座不少于5套/床。提供充足照明光源，具有不同输送的二路供电，配置应急电源设备。其中UPS应急电源仅用于生命支持类设备，建议每床配置不少于4个红色插座，联入UPS，保证每床两路供电。</w:t>
      </w:r>
    </w:p>
    <w:p w14:paraId="686DDD71">
      <w:pPr>
        <w:ind w:firstLine="480" w:firstLineChars="200"/>
        <w:rPr>
          <w:rFonts w:cs="黑体" w:asciiTheme="minorEastAsia" w:hAnsiTheme="minorEastAsia"/>
          <w:spacing w:val="-4"/>
          <w:u w:val="single"/>
        </w:rPr>
      </w:pPr>
      <w:r>
        <w:rPr>
          <w:rFonts w:hint="eastAsia" w:asciiTheme="minorEastAsia" w:hAnsiTheme="minorEastAsia"/>
          <w:bCs/>
          <w:u w:val="single"/>
        </w:rPr>
        <w:t>EICU宜设立独立的冷热源及可靠的新排风系统，隔离单间应规范控制压差。</w:t>
      </w:r>
    </w:p>
    <w:p w14:paraId="59D51C9A">
      <w:pPr>
        <w:spacing w:before="312" w:beforeLines="100"/>
        <w:rPr>
          <w:rFonts w:asciiTheme="minorEastAsia" w:hAnsiTheme="minorEastAsia"/>
          <w:bCs/>
          <w:bdr w:val="single" w:color="auto" w:sz="4" w:space="0"/>
        </w:rPr>
      </w:pPr>
      <w:r>
        <w:rPr>
          <w:rFonts w:hint="eastAsia" w:asciiTheme="minorEastAsia" w:hAnsiTheme="minorEastAsia"/>
          <w:bCs/>
          <w:bdr w:val="single" w:color="auto" w:sz="4" w:space="0"/>
        </w:rPr>
        <w:t>5.3.6 为避免院内感染，提出了根据需要设隔离观察室或单元的要求，并对隔离观察室或单元及医用气体的管道系统终端提出了具体的要求。</w:t>
      </w:r>
    </w:p>
    <w:p w14:paraId="5FB73701">
      <w:pPr>
        <w:rPr>
          <w:rFonts w:asciiTheme="minorEastAsia" w:hAnsiTheme="minorEastAsia"/>
          <w:bCs/>
          <w:u w:val="single"/>
        </w:rPr>
      </w:pPr>
      <w:r>
        <w:rPr>
          <w:rFonts w:hint="eastAsia" w:cs="宋体" w:asciiTheme="minorEastAsia" w:hAnsiTheme="minorEastAsia"/>
          <w:bCs/>
          <w:kern w:val="0"/>
          <w:u w:val="single"/>
        </w:rPr>
        <w:t>5.3.6</w:t>
      </w:r>
      <w:r>
        <w:rPr>
          <w:rFonts w:cs="宋体" w:asciiTheme="minorEastAsia" w:hAnsiTheme="minorEastAsia"/>
          <w:bCs/>
          <w:kern w:val="0"/>
          <w:u w:val="single"/>
        </w:rPr>
        <w:t xml:space="preserve"> </w:t>
      </w:r>
      <w:r>
        <w:rPr>
          <w:rFonts w:hint="eastAsia" w:asciiTheme="minorEastAsia" w:hAnsiTheme="minorEastAsia"/>
          <w:bCs/>
          <w:u w:val="single"/>
        </w:rPr>
        <w:t>1</w:t>
      </w:r>
      <w:r>
        <w:rPr>
          <w:rFonts w:asciiTheme="minorEastAsia" w:hAnsiTheme="minorEastAsia"/>
          <w:bCs/>
          <w:u w:val="single"/>
        </w:rPr>
        <w:t xml:space="preserve"> </w:t>
      </w:r>
      <w:r>
        <w:rPr>
          <w:rFonts w:hint="eastAsia" w:asciiTheme="minorEastAsia" w:hAnsiTheme="minorEastAsia"/>
          <w:bCs/>
          <w:u w:val="single"/>
        </w:rPr>
        <w:t>急诊诊室根据医院急诊流量和运营模式确定专科开设和诊室数量。通常二级以上医院宜开设内科、外科、妇产科、儿科、口腔科、耳鼻喉科、眼科等专科，酌情开设骨科、皮肤科等专科急诊。</w:t>
      </w:r>
    </w:p>
    <w:p w14:paraId="12C61342">
      <w:pPr>
        <w:ind w:firstLine="480" w:firstLineChars="200"/>
        <w:rPr>
          <w:rFonts w:asciiTheme="minorEastAsia" w:hAnsiTheme="minorEastAsia"/>
          <w:bCs/>
          <w:u w:val="single"/>
        </w:rPr>
      </w:pPr>
      <w:r>
        <w:rPr>
          <w:rFonts w:hint="eastAsia" w:asciiTheme="minorEastAsia" w:hAnsiTheme="minorEastAsia"/>
          <w:bCs/>
          <w:u w:val="single"/>
        </w:rPr>
        <w:t>2</w:t>
      </w:r>
      <w:r>
        <w:rPr>
          <w:rFonts w:asciiTheme="minorEastAsia" w:hAnsiTheme="minorEastAsia"/>
          <w:bCs/>
          <w:u w:val="single"/>
        </w:rPr>
        <w:t xml:space="preserve"> </w:t>
      </w:r>
      <w:r>
        <w:rPr>
          <w:rFonts w:hint="eastAsia" w:asciiTheme="minorEastAsia" w:hAnsiTheme="minorEastAsia"/>
          <w:bCs/>
          <w:u w:val="single"/>
        </w:rPr>
        <w:t>儿科急诊根据医院对儿科定位和急诊流量确定，可单设儿科急诊，也可分设儿内科、儿外科和儿童其他专科急诊。</w:t>
      </w:r>
    </w:p>
    <w:p w14:paraId="53DD820C">
      <w:pPr>
        <w:ind w:firstLine="480" w:firstLineChars="200"/>
        <w:rPr>
          <w:rFonts w:asciiTheme="minorEastAsia" w:hAnsiTheme="minorEastAsia"/>
          <w:bCs/>
          <w:u w:val="single"/>
        </w:rPr>
      </w:pPr>
      <w:r>
        <w:rPr>
          <w:rFonts w:hint="eastAsia" w:asciiTheme="minorEastAsia" w:hAnsiTheme="minorEastAsia"/>
          <w:bCs/>
          <w:u w:val="single"/>
        </w:rPr>
        <w:t>3</w:t>
      </w:r>
      <w:r>
        <w:rPr>
          <w:rFonts w:asciiTheme="minorEastAsia" w:hAnsiTheme="minorEastAsia"/>
          <w:bCs/>
          <w:u w:val="single"/>
        </w:rPr>
        <w:t xml:space="preserve"> </w:t>
      </w:r>
      <w:r>
        <w:rPr>
          <w:rFonts w:hint="eastAsia" w:asciiTheme="minorEastAsia" w:hAnsiTheme="minorEastAsia"/>
          <w:bCs/>
          <w:u w:val="single"/>
        </w:rPr>
        <w:t>设置犬伤和蛇伤门诊的，应设置专用诊室和配套用房。</w:t>
      </w:r>
    </w:p>
    <w:p w14:paraId="73D2F39A">
      <w:pPr>
        <w:ind w:firstLine="480" w:firstLineChars="200"/>
        <w:rPr>
          <w:rFonts w:asciiTheme="minorEastAsia" w:hAnsiTheme="minorEastAsia"/>
          <w:bCs/>
          <w:u w:val="single"/>
        </w:rPr>
      </w:pPr>
      <w:r>
        <w:rPr>
          <w:rFonts w:hint="eastAsia" w:asciiTheme="minorEastAsia" w:hAnsiTheme="minorEastAsia"/>
          <w:bCs/>
          <w:u w:val="single"/>
        </w:rPr>
        <w:t>4</w:t>
      </w:r>
      <w:r>
        <w:rPr>
          <w:rFonts w:asciiTheme="minorEastAsia" w:hAnsiTheme="minorEastAsia"/>
          <w:bCs/>
          <w:u w:val="single"/>
        </w:rPr>
        <w:t xml:space="preserve"> </w:t>
      </w:r>
      <w:r>
        <w:rPr>
          <w:rFonts w:hint="eastAsia" w:asciiTheme="minorEastAsia" w:hAnsiTheme="minorEastAsia"/>
          <w:bCs/>
          <w:u w:val="single"/>
        </w:rPr>
        <w:t>急诊诊疗区自然通风条件较差时，应设置机械通风。</w:t>
      </w:r>
    </w:p>
    <w:p w14:paraId="7ED854B3">
      <w:pPr>
        <w:ind w:firstLine="480" w:firstLineChars="200"/>
        <w:rPr>
          <w:rFonts w:asciiTheme="minorEastAsia" w:hAnsiTheme="minorEastAsia"/>
          <w:bCs/>
          <w:u w:val="single"/>
        </w:rPr>
      </w:pPr>
      <w:r>
        <w:rPr>
          <w:rFonts w:hint="eastAsia" w:asciiTheme="minorEastAsia" w:hAnsiTheme="minorEastAsia"/>
          <w:bCs/>
          <w:u w:val="single"/>
        </w:rPr>
        <w:t>5</w:t>
      </w:r>
      <w:r>
        <w:rPr>
          <w:rFonts w:asciiTheme="minorEastAsia" w:hAnsiTheme="minorEastAsia"/>
          <w:bCs/>
          <w:u w:val="single"/>
        </w:rPr>
        <w:t xml:space="preserve"> </w:t>
      </w:r>
      <w:r>
        <w:rPr>
          <w:rFonts w:hint="eastAsia" w:asciiTheme="minorEastAsia" w:hAnsiTheme="minorEastAsia"/>
          <w:bCs/>
          <w:u w:val="single"/>
        </w:rPr>
        <w:t>注射室设置应符合下列要求：</w:t>
      </w:r>
    </w:p>
    <w:p w14:paraId="4C365DAC">
      <w:pPr>
        <w:ind w:firstLine="480" w:firstLineChars="200"/>
        <w:rPr>
          <w:rFonts w:asciiTheme="minorEastAsia" w:hAnsiTheme="minorEastAsia"/>
          <w:bCs/>
          <w:u w:val="single"/>
        </w:rPr>
      </w:pPr>
      <w:r>
        <w:rPr>
          <w:rFonts w:hint="eastAsia" w:asciiTheme="minorEastAsia" w:hAnsiTheme="minorEastAsia"/>
          <w:bCs/>
          <w:u w:val="single"/>
        </w:rPr>
        <w:t>（1）注射室应空间独立，不宜与其他功能混用；</w:t>
      </w:r>
    </w:p>
    <w:p w14:paraId="5CB4790F">
      <w:pPr>
        <w:ind w:firstLine="480" w:firstLineChars="200"/>
        <w:rPr>
          <w:rFonts w:asciiTheme="minorEastAsia" w:hAnsiTheme="minorEastAsia"/>
          <w:bCs/>
          <w:u w:val="single"/>
        </w:rPr>
      </w:pPr>
      <w:r>
        <w:rPr>
          <w:rFonts w:hint="eastAsia" w:asciiTheme="minorEastAsia" w:hAnsiTheme="minorEastAsia"/>
          <w:bCs/>
          <w:u w:val="single"/>
        </w:rPr>
        <w:t>（2）应配置设备带和医用氧气；</w:t>
      </w:r>
    </w:p>
    <w:p w14:paraId="12950BAB">
      <w:pPr>
        <w:ind w:firstLine="480" w:firstLineChars="200"/>
        <w:rPr>
          <w:rFonts w:asciiTheme="minorEastAsia" w:hAnsiTheme="minorEastAsia"/>
          <w:bCs/>
          <w:u w:val="single"/>
        </w:rPr>
      </w:pPr>
      <w:r>
        <w:rPr>
          <w:rFonts w:hint="eastAsia" w:asciiTheme="minorEastAsia" w:hAnsiTheme="minorEastAsia"/>
          <w:bCs/>
          <w:u w:val="single"/>
        </w:rPr>
        <w:t>（3）应配置操作台、注射椅、器械柜、药品柜；可配置治疗床；</w:t>
      </w:r>
    </w:p>
    <w:p w14:paraId="7AED6314">
      <w:pPr>
        <w:ind w:firstLine="480" w:firstLineChars="200"/>
        <w:rPr>
          <w:rFonts w:asciiTheme="minorEastAsia" w:hAnsiTheme="minorEastAsia"/>
          <w:bCs/>
          <w:u w:val="single"/>
        </w:rPr>
      </w:pPr>
      <w:r>
        <w:rPr>
          <w:rFonts w:hint="eastAsia" w:asciiTheme="minorEastAsia" w:hAnsiTheme="minorEastAsia"/>
          <w:bCs/>
          <w:u w:val="single"/>
        </w:rPr>
        <w:t>（4）注射室外宜设等候区及座椅。</w:t>
      </w:r>
    </w:p>
    <w:p w14:paraId="7FFEECCC">
      <w:pPr>
        <w:ind w:firstLine="480" w:firstLineChars="200"/>
        <w:rPr>
          <w:rFonts w:cs="黑体" w:asciiTheme="minorEastAsia" w:hAnsiTheme="minorEastAsia"/>
          <w:spacing w:val="-4"/>
          <w:u w:val="single"/>
        </w:rPr>
      </w:pPr>
      <w:r>
        <w:rPr>
          <w:rFonts w:hint="eastAsia" w:asciiTheme="minorEastAsia" w:hAnsiTheme="minorEastAsia"/>
          <w:bCs/>
          <w:u w:val="single"/>
        </w:rPr>
        <w:t>（5）可采用循环风紫外线空气消毒器或静电吸附式空气消毒器或其它获得消毒产品卫生许可批件的空气消毒器。</w:t>
      </w:r>
    </w:p>
    <w:p w14:paraId="71CF5C19">
      <w:pPr>
        <w:spacing w:before="312" w:beforeLines="100"/>
        <w:rPr>
          <w:rFonts w:asciiTheme="minorEastAsia" w:hAnsiTheme="minorEastAsia"/>
          <w:bCs/>
          <w:u w:val="single"/>
        </w:rPr>
      </w:pPr>
      <w:r>
        <w:rPr>
          <w:rFonts w:hint="eastAsia" w:cs="宋体" w:asciiTheme="minorEastAsia" w:hAnsiTheme="minorEastAsia"/>
          <w:bCs/>
          <w:kern w:val="0"/>
          <w:u w:val="single"/>
        </w:rPr>
        <w:t>5.3.7</w:t>
      </w:r>
      <w:r>
        <w:rPr>
          <w:rFonts w:cs="宋体" w:asciiTheme="minorEastAsia" w:hAnsiTheme="minorEastAsia"/>
          <w:bCs/>
          <w:kern w:val="0"/>
          <w:u w:val="single"/>
        </w:rPr>
        <w:t xml:space="preserve"> </w:t>
      </w:r>
      <w:r>
        <w:rPr>
          <w:rFonts w:hint="eastAsia" w:asciiTheme="minorEastAsia" w:hAnsiTheme="minorEastAsia"/>
          <w:bCs/>
          <w:u w:val="single"/>
        </w:rPr>
        <w:t>急诊医技检查应满足急诊绿色通道救治要求和一站式急诊服务要求，尽可能减少急诊急救患者跨区流动。检验、放射、超声等医技检查的内容、设备数量、空间规模应根据急诊科定位和流量进行设置。CT、MRI、DSA、内镜检查等如果不能在本区域解决的，应有便捷通道，就近解决。</w:t>
      </w:r>
    </w:p>
    <w:p w14:paraId="3B0D0D04">
      <w:pPr>
        <w:ind w:firstLine="480" w:firstLineChars="200"/>
        <w:rPr>
          <w:rFonts w:asciiTheme="minorEastAsia" w:hAnsiTheme="minorEastAsia"/>
          <w:bCs/>
          <w:u w:val="single"/>
        </w:rPr>
      </w:pPr>
      <w:r>
        <w:rPr>
          <w:rFonts w:hint="eastAsia" w:asciiTheme="minorEastAsia" w:hAnsiTheme="minorEastAsia"/>
          <w:bCs/>
          <w:u w:val="single"/>
        </w:rPr>
        <w:t>急诊科应当有醒目的路标和标识，以方便和引导患者就诊，与手术室、重症医学科、DSA等相连接的院内紧急救治绿色通道标识应当清楚明显。</w:t>
      </w:r>
    </w:p>
    <w:p w14:paraId="7EB91583">
      <w:pPr>
        <w:spacing w:before="312" w:beforeLines="100"/>
        <w:rPr>
          <w:rFonts w:cs="宋体" w:asciiTheme="minorEastAsia" w:hAnsiTheme="minorEastAsia"/>
          <w:bCs/>
          <w:kern w:val="0"/>
          <w:u w:val="single"/>
        </w:rPr>
      </w:pPr>
      <w:r>
        <w:rPr>
          <w:rFonts w:hint="eastAsia" w:cs="宋体" w:asciiTheme="minorEastAsia" w:hAnsiTheme="minorEastAsia"/>
          <w:bCs/>
          <w:kern w:val="0"/>
          <w:u w:val="single"/>
        </w:rPr>
        <w:t>5.3.8 急诊输液区应区分成人与儿童，如果医院儿童急诊流量和输液流量较大的，可在儿童急诊区域独立设置。急诊输液空间规模与输液椅位或床位数有关，可设置一定比例的卧式输液、单间输液等空间。急诊输液配液可在急诊单独设置，设立配液间和生物安全柜等设施；如采用集中配液的，应与静脉药物配液中心有便捷物流传输系统。</w:t>
      </w:r>
    </w:p>
    <w:p w14:paraId="1D7B323C">
      <w:pPr>
        <w:ind w:firstLine="480" w:firstLineChars="200"/>
        <w:rPr>
          <w:rFonts w:asciiTheme="minorEastAsia" w:hAnsiTheme="minorEastAsia"/>
          <w:bCs/>
          <w:u w:val="single"/>
        </w:rPr>
      </w:pPr>
      <w:r>
        <w:rPr>
          <w:rFonts w:hint="eastAsia" w:asciiTheme="minorEastAsia" w:hAnsiTheme="minorEastAsia"/>
          <w:bCs/>
          <w:u w:val="single"/>
        </w:rPr>
        <w:t>输液区域应配置呼叫系统、饮水机、有线电视等，可选择部分输液椅配置医疗设备带和医用氧气端口，用于应急使用。输液室通常病毒荷载较高，应配置采用循环风紫外线空气消毒器或静电吸附式空气消毒器或其它获得消毒产品卫生许可批件的空气消毒器，并应部署新排风系统，增加换气次数。</w:t>
      </w:r>
    </w:p>
    <w:p w14:paraId="1A42F427">
      <w:pPr>
        <w:ind w:firstLine="480" w:firstLineChars="200"/>
        <w:rPr>
          <w:rFonts w:asciiTheme="minorEastAsia" w:hAnsiTheme="minorEastAsia"/>
          <w:bCs/>
          <w:u w:val="single"/>
        </w:rPr>
      </w:pPr>
      <w:r>
        <w:rPr>
          <w:rFonts w:hint="eastAsia" w:asciiTheme="minorEastAsia" w:hAnsiTheme="minorEastAsia"/>
          <w:bCs/>
          <w:u w:val="single"/>
        </w:rPr>
        <w:t>宜将儿童观察区与成人观察区分开设置，避免受到成人区听觉和视觉上的干扰。每床应配置呼叫、强电插座端口、弱电网口、医疗气体终端等。</w:t>
      </w:r>
    </w:p>
    <w:p w14:paraId="159D332B">
      <w:pPr>
        <w:spacing w:before="312" w:beforeLines="100"/>
        <w:rPr>
          <w:rFonts w:cs="宋体" w:asciiTheme="minorEastAsia" w:hAnsiTheme="minorEastAsia"/>
          <w:bCs/>
          <w:kern w:val="0"/>
          <w:u w:val="single"/>
        </w:rPr>
      </w:pPr>
      <w:r>
        <w:rPr>
          <w:rFonts w:hint="eastAsia" w:cs="宋体" w:asciiTheme="minorEastAsia" w:hAnsiTheme="minorEastAsia"/>
          <w:bCs/>
          <w:kern w:val="0"/>
          <w:u w:val="single"/>
        </w:rPr>
        <w:t>5.3.9 急诊病房设置根据医院实际业务需要、医院等级要求和急诊定位确定。可以与诊留观或医院日间病房合并设计。选址优先考虑毗邻急诊区域设立，也可在住院部设立。</w:t>
      </w:r>
    </w:p>
    <w:p w14:paraId="4AC0B889">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5.4 感染疾病门诊用房</w:t>
      </w:r>
    </w:p>
    <w:p w14:paraId="5E743749">
      <w:pPr>
        <w:spacing w:before="312" w:beforeLines="100"/>
        <w:rPr>
          <w:rFonts w:asciiTheme="minorEastAsia" w:hAnsiTheme="minorEastAsia"/>
          <w:bCs/>
          <w:u w:val="single"/>
        </w:rPr>
      </w:pPr>
      <w:r>
        <w:rPr>
          <w:rFonts w:asciiTheme="minorEastAsia" w:hAnsiTheme="minorEastAsia"/>
          <w:bCs/>
          <w:snapToGrid w:val="0"/>
          <w:spacing w:val="8"/>
          <w:kern w:val="0"/>
        </w:rPr>
        <w:t>5.4.1</w:t>
      </w:r>
      <w:r>
        <w:rPr>
          <w:rFonts w:asciiTheme="minorEastAsia" w:hAnsiTheme="minorEastAsia"/>
          <w:bCs/>
        </w:rPr>
        <w:t xml:space="preserve"> </w:t>
      </w:r>
      <w:r>
        <w:rPr>
          <w:rFonts w:asciiTheme="minorEastAsia" w:hAnsiTheme="minorEastAsia"/>
          <w:bCs/>
          <w:bdr w:val="single" w:color="auto" w:sz="4" w:space="0"/>
        </w:rPr>
        <w:t>由于传染病种类繁多，又具较强的传染性，为最大限度地避免院内感染，必须在感染</w:t>
      </w:r>
      <w:r>
        <w:rPr>
          <w:rFonts w:hint="eastAsia" w:asciiTheme="minorEastAsia" w:hAnsiTheme="minorEastAsia"/>
          <w:bCs/>
          <w:bdr w:val="single" w:color="auto" w:sz="4" w:space="0"/>
        </w:rPr>
        <w:t>疾病</w:t>
      </w:r>
      <w:r>
        <w:rPr>
          <w:rFonts w:asciiTheme="minorEastAsia" w:hAnsiTheme="minorEastAsia"/>
          <w:bCs/>
          <w:bdr w:val="single" w:color="auto" w:sz="4" w:space="0"/>
        </w:rPr>
        <w:t>门诊的总体位置和出入口方面加以规定。本条提出了感染门诊总体布局的基本要求，特别强调要自成一区，并设置单独出入口。</w:t>
      </w:r>
      <w:r>
        <w:rPr>
          <w:rFonts w:asciiTheme="minorEastAsia" w:hAnsiTheme="minorEastAsia"/>
          <w:bCs/>
          <w:u w:val="single"/>
        </w:rPr>
        <w:t>综合医院</w:t>
      </w:r>
      <w:r>
        <w:rPr>
          <w:rFonts w:hint="eastAsia" w:asciiTheme="minorEastAsia" w:hAnsiTheme="minorEastAsia"/>
          <w:bCs/>
          <w:u w:val="single"/>
        </w:rPr>
        <w:t>感染科门诊</w:t>
      </w:r>
      <w:r>
        <w:rPr>
          <w:rFonts w:asciiTheme="minorEastAsia" w:hAnsiTheme="minorEastAsia"/>
          <w:bCs/>
          <w:u w:val="single"/>
        </w:rPr>
        <w:t>通常设肠道门诊和发热门诊</w:t>
      </w:r>
      <w:r>
        <w:rPr>
          <w:rFonts w:hint="eastAsia" w:asciiTheme="minorEastAsia" w:hAnsiTheme="minorEastAsia"/>
          <w:bCs/>
          <w:u w:val="single"/>
        </w:rPr>
        <w:t>，</w:t>
      </w:r>
      <w:r>
        <w:rPr>
          <w:rFonts w:asciiTheme="minorEastAsia" w:hAnsiTheme="minorEastAsia"/>
          <w:bCs/>
          <w:u w:val="single"/>
        </w:rPr>
        <w:t>并分设独立的</w:t>
      </w:r>
      <w:r>
        <w:rPr>
          <w:rFonts w:hint="eastAsia" w:asciiTheme="minorEastAsia" w:hAnsiTheme="minorEastAsia"/>
          <w:bCs/>
          <w:u w:val="single"/>
        </w:rPr>
        <w:t>出</w:t>
      </w:r>
      <w:r>
        <w:rPr>
          <w:rFonts w:asciiTheme="minorEastAsia" w:hAnsiTheme="minorEastAsia"/>
          <w:bCs/>
          <w:u w:val="single"/>
        </w:rPr>
        <w:t>入口</w:t>
      </w:r>
      <w:r>
        <w:rPr>
          <w:rFonts w:hint="eastAsia" w:asciiTheme="minorEastAsia" w:hAnsiTheme="minorEastAsia"/>
          <w:bCs/>
          <w:u w:val="single"/>
        </w:rPr>
        <w:t>、设</w:t>
      </w:r>
      <w:r>
        <w:rPr>
          <w:rFonts w:asciiTheme="minorEastAsia" w:hAnsiTheme="minorEastAsia"/>
          <w:bCs/>
          <w:u w:val="single"/>
        </w:rPr>
        <w:t>各类配套诊疗和检查用房以及医患辅助用房</w:t>
      </w:r>
      <w:r>
        <w:rPr>
          <w:rFonts w:hint="eastAsia" w:asciiTheme="minorEastAsia" w:hAnsiTheme="minorEastAsia"/>
          <w:bCs/>
          <w:u w:val="single"/>
        </w:rPr>
        <w:t>。</w:t>
      </w:r>
    </w:p>
    <w:p w14:paraId="2B79CB5B">
      <w:pPr>
        <w:ind w:firstLine="480" w:firstLineChars="200"/>
        <w:rPr>
          <w:rFonts w:asciiTheme="minorEastAsia" w:hAnsiTheme="minorEastAsia"/>
          <w:bCs/>
          <w:u w:val="single"/>
        </w:rPr>
      </w:pPr>
      <w:r>
        <w:rPr>
          <w:rFonts w:asciiTheme="minorEastAsia" w:hAnsiTheme="minorEastAsia"/>
          <w:bCs/>
          <w:u w:val="single"/>
        </w:rPr>
        <w:t>感染性疾病门诊宜对发热门诊</w:t>
      </w:r>
      <w:r>
        <w:rPr>
          <w:rFonts w:hint="eastAsia" w:asciiTheme="minorEastAsia" w:hAnsiTheme="minorEastAsia"/>
          <w:bCs/>
          <w:u w:val="single"/>
        </w:rPr>
        <w:t>、</w:t>
      </w:r>
      <w:r>
        <w:rPr>
          <w:rFonts w:asciiTheme="minorEastAsia" w:hAnsiTheme="minorEastAsia"/>
          <w:bCs/>
          <w:u w:val="single"/>
        </w:rPr>
        <w:t>肠道门诊</w:t>
      </w:r>
      <w:r>
        <w:rPr>
          <w:rFonts w:hint="eastAsia" w:asciiTheme="minorEastAsia" w:hAnsiTheme="minorEastAsia"/>
          <w:bCs/>
          <w:u w:val="single"/>
        </w:rPr>
        <w:t>、</w:t>
      </w:r>
      <w:r>
        <w:rPr>
          <w:rFonts w:asciiTheme="minorEastAsia" w:hAnsiTheme="minorEastAsia"/>
          <w:bCs/>
          <w:u w:val="single"/>
        </w:rPr>
        <w:t>肝炎和艾滋病门诊进行分类分区</w:t>
      </w:r>
      <w:r>
        <w:rPr>
          <w:rFonts w:hint="eastAsia" w:asciiTheme="minorEastAsia" w:hAnsiTheme="minorEastAsia"/>
          <w:bCs/>
          <w:u w:val="single"/>
        </w:rPr>
        <w:t>，宜</w:t>
      </w:r>
      <w:r>
        <w:rPr>
          <w:rFonts w:asciiTheme="minorEastAsia" w:hAnsiTheme="minorEastAsia"/>
          <w:bCs/>
          <w:u w:val="single"/>
        </w:rPr>
        <w:t>按照呼吸道传染病和非呼吸道传染病的防护要求分区整合建设</w:t>
      </w:r>
      <w:r>
        <w:rPr>
          <w:rFonts w:hint="eastAsia" w:asciiTheme="minorEastAsia" w:hAnsiTheme="minorEastAsia"/>
          <w:bCs/>
          <w:u w:val="single"/>
        </w:rPr>
        <w:t>，</w:t>
      </w:r>
      <w:r>
        <w:rPr>
          <w:rFonts w:asciiTheme="minorEastAsia" w:hAnsiTheme="minorEastAsia"/>
          <w:bCs/>
          <w:u w:val="single"/>
        </w:rPr>
        <w:t>肝炎</w:t>
      </w:r>
      <w:r>
        <w:rPr>
          <w:rFonts w:hint="eastAsia" w:asciiTheme="minorEastAsia" w:hAnsiTheme="minorEastAsia"/>
          <w:bCs/>
          <w:u w:val="single"/>
        </w:rPr>
        <w:t>、</w:t>
      </w:r>
      <w:r>
        <w:rPr>
          <w:rFonts w:asciiTheme="minorEastAsia" w:hAnsiTheme="minorEastAsia"/>
          <w:bCs/>
          <w:u w:val="single"/>
        </w:rPr>
        <w:t>结核等疾病流量较大的也可独立设置专病门诊</w:t>
      </w:r>
      <w:r>
        <w:rPr>
          <w:rFonts w:hint="eastAsia" w:asciiTheme="minorEastAsia" w:hAnsiTheme="minorEastAsia"/>
          <w:bCs/>
          <w:u w:val="single"/>
        </w:rPr>
        <w:t>。</w:t>
      </w:r>
    </w:p>
    <w:p w14:paraId="7A7B21BF">
      <w:pPr>
        <w:spacing w:before="312" w:beforeLines="100"/>
        <w:rPr>
          <w:rFonts w:cs="宋体" w:asciiTheme="minorEastAsia" w:hAnsiTheme="minorEastAsia"/>
          <w:bCs/>
          <w:kern w:val="0"/>
          <w:u w:val="single"/>
        </w:rPr>
      </w:pPr>
      <w:r>
        <w:rPr>
          <w:rFonts w:hint="eastAsia" w:cs="宋体" w:asciiTheme="minorEastAsia" w:hAnsiTheme="minorEastAsia"/>
          <w:bCs/>
          <w:kern w:val="0"/>
          <w:u w:val="single"/>
        </w:rPr>
        <w:t>5.4.2</w:t>
      </w:r>
      <w:r>
        <w:rPr>
          <w:rFonts w:cs="宋体" w:asciiTheme="minorEastAsia" w:hAnsiTheme="minorEastAsia"/>
          <w:bCs/>
          <w:kern w:val="0"/>
          <w:u w:val="single"/>
        </w:rPr>
        <w:t xml:space="preserve"> 感染门诊应与其他门诊</w:t>
      </w:r>
      <w:r>
        <w:rPr>
          <w:rFonts w:hint="eastAsia" w:cs="宋体" w:asciiTheme="minorEastAsia" w:hAnsiTheme="minorEastAsia"/>
          <w:bCs/>
          <w:kern w:val="0"/>
          <w:u w:val="single"/>
        </w:rPr>
        <w:t>物理隔离。内部应按防控卫生安全等级要求，</w:t>
      </w:r>
      <w:r>
        <w:rPr>
          <w:rFonts w:cs="宋体" w:asciiTheme="minorEastAsia" w:hAnsiTheme="minorEastAsia"/>
          <w:bCs/>
          <w:kern w:val="0"/>
          <w:u w:val="single"/>
        </w:rPr>
        <w:t>严格区分污染区</w:t>
      </w:r>
      <w:r>
        <w:rPr>
          <w:rFonts w:hint="eastAsia" w:cs="宋体" w:asciiTheme="minorEastAsia" w:hAnsiTheme="minorEastAsia"/>
          <w:bCs/>
          <w:kern w:val="0"/>
          <w:u w:val="single"/>
        </w:rPr>
        <w:t>、</w:t>
      </w:r>
      <w:r>
        <w:rPr>
          <w:rFonts w:cs="宋体" w:asciiTheme="minorEastAsia" w:hAnsiTheme="minorEastAsia"/>
          <w:bCs/>
          <w:kern w:val="0"/>
          <w:u w:val="single"/>
        </w:rPr>
        <w:t>半污染区和清洁区</w:t>
      </w:r>
      <w:r>
        <w:rPr>
          <w:rFonts w:hint="eastAsia" w:cs="宋体" w:asciiTheme="minorEastAsia" w:hAnsiTheme="minorEastAsia"/>
          <w:bCs/>
          <w:kern w:val="0"/>
          <w:u w:val="single"/>
        </w:rPr>
        <w:t>。</w:t>
      </w:r>
    </w:p>
    <w:p w14:paraId="60CA855C">
      <w:pPr>
        <w:ind w:firstLine="480" w:firstLineChars="200"/>
        <w:rPr>
          <w:rFonts w:asciiTheme="minorEastAsia" w:hAnsiTheme="minorEastAsia"/>
          <w:bCs/>
          <w:u w:val="single"/>
        </w:rPr>
      </w:pPr>
      <w:r>
        <w:rPr>
          <w:rFonts w:hint="eastAsia" w:asciiTheme="minorEastAsia" w:hAnsiTheme="minorEastAsia"/>
          <w:bCs/>
          <w:u w:val="single"/>
        </w:rPr>
        <w:t>医务人员进入污染区域应设置卫生通过间，其位置应布置在医务人员进出诊断工作区入口部。</w:t>
      </w:r>
    </w:p>
    <w:p w14:paraId="546B06B1">
      <w:pPr>
        <w:ind w:firstLine="480" w:firstLineChars="200"/>
        <w:rPr>
          <w:rFonts w:asciiTheme="minorEastAsia" w:hAnsiTheme="minorEastAsia"/>
          <w:bCs/>
          <w:u w:val="single"/>
        </w:rPr>
      </w:pPr>
      <w:r>
        <w:rPr>
          <w:rFonts w:hint="eastAsia" w:asciiTheme="minorEastAsia" w:hAnsiTheme="minorEastAsia"/>
          <w:bCs/>
          <w:u w:val="single"/>
        </w:rPr>
        <w:t>在各个区域的末端设立专用污物通道，所有污物集中管理、集中存放、集中运输、集中处理以确保安全。</w:t>
      </w:r>
      <w:r>
        <w:rPr>
          <w:rFonts w:asciiTheme="minorEastAsia" w:hAnsiTheme="minorEastAsia"/>
          <w:bCs/>
          <w:u w:val="single"/>
        </w:rPr>
        <w:t>各诊疗区域之间应设立缓冲间</w:t>
      </w:r>
      <w:r>
        <w:rPr>
          <w:rFonts w:hint="eastAsia" w:asciiTheme="minorEastAsia" w:hAnsiTheme="minorEastAsia"/>
          <w:bCs/>
          <w:u w:val="single"/>
        </w:rPr>
        <w:t>。</w:t>
      </w:r>
    </w:p>
    <w:p w14:paraId="28ECA033">
      <w:pPr>
        <w:ind w:firstLine="480" w:firstLineChars="200"/>
        <w:rPr>
          <w:rFonts w:asciiTheme="minorEastAsia" w:hAnsiTheme="minorEastAsia"/>
          <w:bCs/>
          <w:u w:val="single"/>
        </w:rPr>
      </w:pPr>
      <w:r>
        <w:rPr>
          <w:rFonts w:asciiTheme="minorEastAsia" w:hAnsiTheme="minorEastAsia"/>
          <w:bCs/>
          <w:u w:val="single"/>
        </w:rPr>
        <w:t>儿童感染科应考虑防止传染病流行期患病儿童对其他病害感染</w:t>
      </w:r>
      <w:r>
        <w:rPr>
          <w:rFonts w:hint="eastAsia" w:asciiTheme="minorEastAsia" w:hAnsiTheme="minorEastAsia"/>
          <w:bCs/>
          <w:u w:val="single"/>
        </w:rPr>
        <w:t>，</w:t>
      </w:r>
      <w:r>
        <w:rPr>
          <w:rFonts w:asciiTheme="minorEastAsia" w:hAnsiTheme="minorEastAsia"/>
          <w:bCs/>
          <w:u w:val="single"/>
        </w:rPr>
        <w:t>设隔离诊疗区</w:t>
      </w:r>
      <w:r>
        <w:rPr>
          <w:rFonts w:hint="eastAsia" w:asciiTheme="minorEastAsia" w:hAnsiTheme="minorEastAsia"/>
          <w:bCs/>
          <w:u w:val="single"/>
        </w:rPr>
        <w:t>。</w:t>
      </w:r>
    </w:p>
    <w:p w14:paraId="18CA8D96">
      <w:pPr>
        <w:ind w:firstLine="480" w:firstLineChars="200"/>
        <w:rPr>
          <w:rFonts w:asciiTheme="minorEastAsia" w:hAnsiTheme="minorEastAsia"/>
          <w:bCs/>
          <w:u w:val="single"/>
        </w:rPr>
      </w:pPr>
      <w:r>
        <w:rPr>
          <w:rFonts w:asciiTheme="minorEastAsia" w:hAnsiTheme="minorEastAsia"/>
          <w:bCs/>
          <w:u w:val="single"/>
        </w:rPr>
        <w:t>感染门诊的各功能用房应具备良好的灵活性和扩展性</w:t>
      </w:r>
      <w:r>
        <w:rPr>
          <w:rFonts w:hint="eastAsia" w:asciiTheme="minorEastAsia" w:hAnsiTheme="minorEastAsia"/>
          <w:bCs/>
          <w:u w:val="single"/>
        </w:rPr>
        <w:t>，</w:t>
      </w:r>
      <w:r>
        <w:rPr>
          <w:rFonts w:asciiTheme="minorEastAsia" w:hAnsiTheme="minorEastAsia"/>
          <w:bCs/>
          <w:u w:val="single"/>
        </w:rPr>
        <w:t>做到平疫结合</w:t>
      </w:r>
      <w:r>
        <w:rPr>
          <w:rFonts w:hint="eastAsia" w:asciiTheme="minorEastAsia" w:hAnsiTheme="minorEastAsia"/>
          <w:bCs/>
          <w:u w:val="single"/>
        </w:rPr>
        <w:t>，宜具备快速相互转换的条件，即能满足平时对感染性疾病的诊疗防治功能，又能适应对公共突发卫生医疗救治需求。</w:t>
      </w:r>
    </w:p>
    <w:p w14:paraId="2DA66ACA">
      <w:pPr>
        <w:ind w:firstLine="480" w:firstLineChars="200"/>
        <w:rPr>
          <w:rFonts w:asciiTheme="minorEastAsia" w:hAnsiTheme="minorEastAsia"/>
          <w:bCs/>
          <w:u w:val="single"/>
        </w:rPr>
      </w:pPr>
      <w:r>
        <w:rPr>
          <w:rFonts w:hint="eastAsia" w:asciiTheme="minorEastAsia" w:hAnsiTheme="minorEastAsia"/>
          <w:bCs/>
          <w:u w:val="single"/>
        </w:rPr>
        <w:t>在发热</w:t>
      </w:r>
      <w:r>
        <w:rPr>
          <w:rFonts w:asciiTheme="minorEastAsia" w:hAnsiTheme="minorEastAsia"/>
          <w:bCs/>
          <w:u w:val="single"/>
        </w:rPr>
        <w:t>门诊</w:t>
      </w:r>
      <w:r>
        <w:rPr>
          <w:rFonts w:hint="eastAsia" w:asciiTheme="minorEastAsia" w:hAnsiTheme="minorEastAsia"/>
          <w:bCs/>
          <w:u w:val="single"/>
        </w:rPr>
        <w:t>入口处应设置筛查间。发热门诊宜设3个及以上单人隔离观察室或隔离病室，肠道门诊应设置不少于一个隔离观察室。</w:t>
      </w:r>
    </w:p>
    <w:p w14:paraId="645BA32B">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5.5 住院部用房</w:t>
      </w:r>
    </w:p>
    <w:p w14:paraId="2A8F9605">
      <w:pPr>
        <w:spacing w:before="312" w:beforeLines="100"/>
        <w:rPr>
          <w:rFonts w:asciiTheme="minorEastAsia" w:hAnsiTheme="minorEastAsia"/>
          <w:bCs/>
          <w:sz w:val="21"/>
          <w:szCs w:val="22"/>
        </w:rPr>
      </w:pPr>
      <w:r>
        <w:rPr>
          <w:rFonts w:asciiTheme="minorEastAsia" w:hAnsiTheme="minorEastAsia"/>
          <w:bCs/>
          <w:snapToGrid w:val="0"/>
          <w:spacing w:val="8"/>
          <w:kern w:val="0"/>
        </w:rPr>
        <w:t>5.5.1</w:t>
      </w:r>
      <w:r>
        <w:rPr>
          <w:rFonts w:asciiTheme="minorEastAsia" w:hAnsiTheme="minorEastAsia"/>
          <w:snapToGrid w:val="0"/>
          <w:spacing w:val="8"/>
          <w:kern w:val="0"/>
        </w:rPr>
        <w:t xml:space="preserve"> </w:t>
      </w:r>
      <w:r>
        <w:rPr>
          <w:rFonts w:asciiTheme="minorEastAsia" w:hAnsiTheme="minorEastAsia"/>
          <w:bCs/>
        </w:rPr>
        <w:t>住院部是医院中最基本、最重要的组成部门之一，也是患者起居生活的地方。安静的环境利于患者治疗和康复。为方便患者出入院</w:t>
      </w:r>
      <w:r>
        <w:rPr>
          <w:rFonts w:hint="eastAsia" w:asciiTheme="minorEastAsia" w:hAnsiTheme="minorEastAsia"/>
          <w:bCs/>
        </w:rPr>
        <w:t>、</w:t>
      </w:r>
      <w:r>
        <w:rPr>
          <w:rFonts w:asciiTheme="minorEastAsia" w:hAnsiTheme="minorEastAsia"/>
          <w:bCs/>
        </w:rPr>
        <w:t>患者家属探望及医院管理，可根据医院工艺流程和功能布局的要求，单独设置或共用出入口。每天很多住院患者需在医技部、手术部借助各种医疗仪器和设备进行检查、治疗或手术；很多急诊患者需直接住院治疗，所以住院部与医技部、手术部和急诊部应有便捷的联系。住院部</w:t>
      </w:r>
      <w:r>
        <w:rPr>
          <w:rFonts w:asciiTheme="minorEastAsia" w:hAnsiTheme="minorEastAsia"/>
          <w:bCs/>
          <w:bdr w:val="single" w:color="auto" w:sz="4" w:space="0"/>
        </w:rPr>
        <w:t>在综合医院的总面积中约占39%，是医院中机电系统、医疗气体系统的负荷中心，</w:t>
      </w:r>
      <w:r>
        <w:rPr>
          <w:rFonts w:asciiTheme="minorEastAsia" w:hAnsiTheme="minorEastAsia"/>
          <w:bCs/>
        </w:rPr>
        <w:t>是后勤供应的主要对象</w:t>
      </w:r>
      <w:r>
        <w:rPr>
          <w:rFonts w:asciiTheme="minorEastAsia" w:hAnsiTheme="minorEastAsia"/>
          <w:bCs/>
          <w:bdr w:val="single" w:color="auto" w:sz="4" w:space="0"/>
        </w:rPr>
        <w:t>。</w:t>
      </w:r>
      <w:r>
        <w:rPr>
          <w:rFonts w:asciiTheme="minorEastAsia" w:hAnsiTheme="minorEastAsia"/>
          <w:bCs/>
          <w:u w:val="single"/>
        </w:rPr>
        <w:t>，</w:t>
      </w:r>
      <w:r>
        <w:rPr>
          <w:rFonts w:asciiTheme="minorEastAsia" w:hAnsiTheme="minorEastAsia"/>
          <w:bCs/>
        </w:rPr>
        <w:t>为了提高</w:t>
      </w:r>
      <w:r>
        <w:rPr>
          <w:rFonts w:asciiTheme="minorEastAsia" w:hAnsiTheme="minorEastAsia"/>
          <w:bCs/>
          <w:bdr w:val="single" w:color="auto" w:sz="4" w:space="0"/>
        </w:rPr>
        <w:t>医院机电系统、医疗气体系统的</w:t>
      </w:r>
      <w:r>
        <w:rPr>
          <w:rFonts w:asciiTheme="minorEastAsia" w:hAnsiTheme="minorEastAsia"/>
          <w:bCs/>
        </w:rPr>
        <w:t>效率，降低运行管理成本，住院部应</w:t>
      </w:r>
      <w:r>
        <w:rPr>
          <w:rFonts w:asciiTheme="minorEastAsia" w:hAnsiTheme="minorEastAsia"/>
          <w:bCs/>
          <w:u w:val="single"/>
        </w:rPr>
        <w:t>与</w:t>
      </w:r>
      <w:r>
        <w:rPr>
          <w:rFonts w:asciiTheme="minorEastAsia" w:hAnsiTheme="minorEastAsia"/>
          <w:bCs/>
          <w:bdr w:val="single" w:color="auto" w:sz="4" w:space="0"/>
        </w:rPr>
        <w:t>尽量靠近</w:t>
      </w:r>
      <w:r>
        <w:rPr>
          <w:rFonts w:asciiTheme="minorEastAsia" w:hAnsiTheme="minorEastAsia"/>
          <w:bCs/>
        </w:rPr>
        <w:t>医院的</w:t>
      </w:r>
      <w:r>
        <w:rPr>
          <w:rFonts w:asciiTheme="minorEastAsia" w:hAnsiTheme="minorEastAsia"/>
          <w:bCs/>
          <w:bdr w:val="single" w:color="auto" w:sz="4" w:space="0"/>
        </w:rPr>
        <w:t>能源中心、</w:t>
      </w:r>
      <w:r>
        <w:rPr>
          <w:rFonts w:asciiTheme="minorEastAsia" w:hAnsiTheme="minorEastAsia"/>
          <w:bCs/>
        </w:rPr>
        <w:t>营养厨房、洗衣房等辅助设施</w:t>
      </w:r>
      <w:r>
        <w:rPr>
          <w:rFonts w:hint="eastAsia" w:asciiTheme="minorEastAsia" w:hAnsiTheme="minorEastAsia"/>
          <w:bCs/>
          <w:u w:val="single"/>
        </w:rPr>
        <w:t>有</w:t>
      </w:r>
      <w:r>
        <w:rPr>
          <w:rFonts w:asciiTheme="minorEastAsia" w:hAnsiTheme="minorEastAsia"/>
          <w:bCs/>
          <w:u w:val="single"/>
        </w:rPr>
        <w:t>便捷的物资配送通道</w:t>
      </w:r>
      <w:r>
        <w:rPr>
          <w:rFonts w:asciiTheme="minorEastAsia" w:hAnsiTheme="minorEastAsia"/>
          <w:bCs/>
        </w:rPr>
        <w:t>。</w:t>
      </w:r>
    </w:p>
    <w:p w14:paraId="1BA551B0">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5.7</w:t>
      </w:r>
      <w:r>
        <w:rPr>
          <w:rFonts w:cs="宋体" w:asciiTheme="minorEastAsia" w:hAnsiTheme="minorEastAsia"/>
          <w:b/>
          <w:sz w:val="28"/>
          <w:szCs w:val="30"/>
        </w:rPr>
        <w:t xml:space="preserve"> </w:t>
      </w:r>
      <w:r>
        <w:rPr>
          <w:rFonts w:hint="eastAsia" w:cs="宋体" w:asciiTheme="minorEastAsia" w:hAnsiTheme="minorEastAsia"/>
          <w:b/>
          <w:sz w:val="28"/>
          <w:szCs w:val="30"/>
        </w:rPr>
        <w:t>手术部用房</w:t>
      </w:r>
    </w:p>
    <w:p w14:paraId="303B7EEA">
      <w:pPr>
        <w:spacing w:before="312" w:beforeLines="100"/>
        <w:rPr>
          <w:rFonts w:asciiTheme="minorEastAsia" w:hAnsiTheme="minorEastAsia"/>
          <w:bCs/>
          <w:sz w:val="22"/>
          <w:szCs w:val="22"/>
          <w:u w:val="single"/>
        </w:rPr>
      </w:pPr>
      <w:r>
        <w:rPr>
          <w:rFonts w:hint="eastAsia" w:asciiTheme="minorEastAsia" w:hAnsiTheme="minorEastAsia"/>
          <w:bCs/>
          <w:u w:val="single"/>
        </w:rPr>
        <w:t>5.7</w:t>
      </w:r>
      <w:r>
        <w:rPr>
          <w:rFonts w:asciiTheme="minorEastAsia" w:hAnsiTheme="minorEastAsia"/>
          <w:bCs/>
          <w:u w:val="single"/>
        </w:rPr>
        <w:t>.</w:t>
      </w:r>
      <w:r>
        <w:rPr>
          <w:rFonts w:hint="eastAsia" w:asciiTheme="minorEastAsia" w:hAnsiTheme="minorEastAsia"/>
          <w:bCs/>
          <w:u w:val="single"/>
        </w:rPr>
        <w:t>3</w:t>
      </w:r>
      <w:r>
        <w:rPr>
          <w:rFonts w:asciiTheme="minorEastAsia" w:hAnsiTheme="minorEastAsia"/>
          <w:bCs/>
          <w:u w:val="single"/>
        </w:rPr>
        <w:t xml:space="preserve">A </w:t>
      </w:r>
      <w:r>
        <w:rPr>
          <w:rFonts w:hint="eastAsia" w:asciiTheme="minorEastAsia" w:hAnsiTheme="minorEastAsia"/>
          <w:bCs/>
          <w:u w:val="single"/>
        </w:rPr>
        <w:t>必要</w:t>
      </w:r>
      <w:r>
        <w:rPr>
          <w:rFonts w:asciiTheme="minorEastAsia" w:hAnsiTheme="minorEastAsia"/>
          <w:bCs/>
          <w:u w:val="single"/>
        </w:rPr>
        <w:t>时，手术部可设置负压手术室，负压手术室出入口处应设准备室作为缓冲室。</w:t>
      </w:r>
    </w:p>
    <w:p w14:paraId="7580B6C3">
      <w:pPr>
        <w:spacing w:before="312" w:beforeLines="100"/>
        <w:rPr>
          <w:rFonts w:asciiTheme="minorEastAsia" w:hAnsiTheme="minorEastAsia"/>
          <w:bCs/>
          <w:u w:val="single"/>
        </w:rPr>
      </w:pPr>
      <w:r>
        <w:rPr>
          <w:rFonts w:hint="eastAsia" w:asciiTheme="minorEastAsia" w:hAnsiTheme="minorEastAsia"/>
          <w:bCs/>
          <w:u w:val="single"/>
        </w:rPr>
        <w:t>5.7.3</w:t>
      </w:r>
      <w:r>
        <w:rPr>
          <w:rFonts w:asciiTheme="minorEastAsia" w:hAnsiTheme="minorEastAsia"/>
          <w:bCs/>
          <w:u w:val="single"/>
        </w:rPr>
        <w:t xml:space="preserve">B </w:t>
      </w:r>
      <w:r>
        <w:rPr>
          <w:rFonts w:hint="eastAsia" w:asciiTheme="minorEastAsia" w:hAnsiTheme="minorEastAsia"/>
          <w:bCs/>
          <w:u w:val="single"/>
        </w:rPr>
        <w:t>多功能</w:t>
      </w:r>
      <w:r>
        <w:rPr>
          <w:rFonts w:asciiTheme="minorEastAsia" w:hAnsiTheme="minorEastAsia"/>
          <w:bCs/>
          <w:u w:val="single"/>
        </w:rPr>
        <w:t>复</w:t>
      </w:r>
      <w:r>
        <w:rPr>
          <w:rFonts w:hint="eastAsia" w:asciiTheme="minorEastAsia" w:hAnsiTheme="minorEastAsia"/>
          <w:bCs/>
          <w:u w:val="single"/>
        </w:rPr>
        <w:t>合</w:t>
      </w:r>
      <w:r>
        <w:rPr>
          <w:rFonts w:asciiTheme="minorEastAsia" w:hAnsiTheme="minorEastAsia"/>
          <w:bCs/>
          <w:u w:val="single"/>
        </w:rPr>
        <w:t>手术室</w:t>
      </w:r>
      <w:r>
        <w:rPr>
          <w:rFonts w:hint="eastAsia" w:asciiTheme="minorEastAsia" w:hAnsiTheme="minorEastAsia"/>
          <w:bCs/>
          <w:u w:val="single"/>
        </w:rPr>
        <w:t>又称作</w:t>
      </w:r>
      <w:r>
        <w:rPr>
          <w:rFonts w:asciiTheme="minorEastAsia" w:hAnsiTheme="minorEastAsia"/>
          <w:bCs/>
          <w:u w:val="single"/>
        </w:rPr>
        <w:t>杂交手术室，</w:t>
      </w:r>
      <w:r>
        <w:rPr>
          <w:rFonts w:hint="eastAsia" w:asciiTheme="minorEastAsia" w:hAnsiTheme="minorEastAsia"/>
          <w:bCs/>
          <w:u w:val="single"/>
        </w:rPr>
        <w:t>是可以</w:t>
      </w:r>
      <w:r>
        <w:rPr>
          <w:rFonts w:asciiTheme="minorEastAsia" w:hAnsiTheme="minorEastAsia"/>
          <w:bCs/>
          <w:u w:val="single"/>
        </w:rPr>
        <w:t>同时进行影像学诊断、介入治疗和外科手术的特殊手术室。</w:t>
      </w:r>
      <w:r>
        <w:rPr>
          <w:rFonts w:hint="eastAsia" w:asciiTheme="minorEastAsia" w:hAnsiTheme="minorEastAsia"/>
          <w:bCs/>
          <w:u w:val="single"/>
        </w:rPr>
        <w:t>多功能</w:t>
      </w:r>
      <w:r>
        <w:rPr>
          <w:rFonts w:asciiTheme="minorEastAsia" w:hAnsiTheme="minorEastAsia"/>
          <w:bCs/>
          <w:u w:val="single"/>
        </w:rPr>
        <w:t>复</w:t>
      </w:r>
      <w:r>
        <w:rPr>
          <w:rFonts w:hint="eastAsia" w:asciiTheme="minorEastAsia" w:hAnsiTheme="minorEastAsia"/>
          <w:bCs/>
          <w:u w:val="single"/>
        </w:rPr>
        <w:t>合</w:t>
      </w:r>
      <w:r>
        <w:rPr>
          <w:rFonts w:asciiTheme="minorEastAsia" w:hAnsiTheme="minorEastAsia"/>
          <w:bCs/>
          <w:u w:val="single"/>
        </w:rPr>
        <w:t>手术室由于不同的复合类型，对</w:t>
      </w:r>
      <w:r>
        <w:rPr>
          <w:rFonts w:hint="eastAsia" w:asciiTheme="minorEastAsia" w:hAnsiTheme="minorEastAsia"/>
          <w:bCs/>
          <w:u w:val="single"/>
        </w:rPr>
        <w:t>空间</w:t>
      </w:r>
      <w:r>
        <w:rPr>
          <w:rFonts w:asciiTheme="minorEastAsia" w:hAnsiTheme="minorEastAsia"/>
          <w:bCs/>
          <w:u w:val="single"/>
        </w:rPr>
        <w:t>大小、荷载、</w:t>
      </w:r>
      <w:r>
        <w:rPr>
          <w:rFonts w:hint="eastAsia" w:asciiTheme="minorEastAsia" w:hAnsiTheme="minorEastAsia"/>
          <w:bCs/>
          <w:u w:val="single"/>
        </w:rPr>
        <w:t>分区</w:t>
      </w:r>
      <w:r>
        <w:rPr>
          <w:rFonts w:asciiTheme="minorEastAsia" w:hAnsiTheme="minorEastAsia"/>
          <w:bCs/>
          <w:u w:val="single"/>
        </w:rPr>
        <w:t>、</w:t>
      </w:r>
      <w:r>
        <w:rPr>
          <w:rFonts w:hint="eastAsia" w:asciiTheme="minorEastAsia" w:hAnsiTheme="minorEastAsia"/>
          <w:bCs/>
          <w:u w:val="single"/>
        </w:rPr>
        <w:t>供配电</w:t>
      </w:r>
      <w:r>
        <w:rPr>
          <w:rFonts w:asciiTheme="minorEastAsia" w:hAnsiTheme="minorEastAsia"/>
          <w:bCs/>
          <w:u w:val="single"/>
        </w:rPr>
        <w:t>、放射防护、</w:t>
      </w:r>
      <w:r>
        <w:rPr>
          <w:rFonts w:hint="eastAsia" w:asciiTheme="minorEastAsia" w:hAnsiTheme="minorEastAsia"/>
          <w:bCs/>
          <w:u w:val="single"/>
        </w:rPr>
        <w:t>电磁防护</w:t>
      </w:r>
      <w:r>
        <w:rPr>
          <w:rFonts w:asciiTheme="minorEastAsia" w:hAnsiTheme="minorEastAsia"/>
          <w:bCs/>
          <w:u w:val="single"/>
        </w:rPr>
        <w:t>要求不同</w:t>
      </w:r>
      <w:r>
        <w:rPr>
          <w:rFonts w:hint="eastAsia" w:asciiTheme="minorEastAsia" w:hAnsiTheme="minorEastAsia"/>
          <w:bCs/>
          <w:u w:val="single"/>
        </w:rPr>
        <w:t>，</w:t>
      </w:r>
      <w:r>
        <w:rPr>
          <w:rFonts w:asciiTheme="minorEastAsia" w:hAnsiTheme="minorEastAsia"/>
          <w:bCs/>
          <w:u w:val="single"/>
        </w:rPr>
        <w:t>需要根据具体的复合类型设计。</w:t>
      </w:r>
    </w:p>
    <w:p w14:paraId="65F05C49">
      <w:pPr>
        <w:spacing w:before="312" w:beforeLines="100"/>
        <w:rPr>
          <w:rFonts w:asciiTheme="minorEastAsia" w:hAnsiTheme="minorEastAsia"/>
          <w:bCs/>
          <w:u w:val="single"/>
        </w:rPr>
      </w:pPr>
      <w:r>
        <w:rPr>
          <w:rFonts w:hint="eastAsia" w:asciiTheme="minorEastAsia" w:hAnsiTheme="minorEastAsia"/>
          <w:bCs/>
          <w:u w:val="single"/>
        </w:rPr>
        <w:t>5.7</w:t>
      </w:r>
      <w:r>
        <w:rPr>
          <w:rFonts w:asciiTheme="minorEastAsia" w:hAnsiTheme="minorEastAsia"/>
          <w:bCs/>
          <w:u w:val="single"/>
        </w:rPr>
        <w:t xml:space="preserve">.4 </w:t>
      </w:r>
      <w:r>
        <w:rPr>
          <w:rFonts w:hint="eastAsia" w:asciiTheme="minorEastAsia" w:hAnsiTheme="minorEastAsia"/>
          <w:bCs/>
          <w:u w:val="single"/>
        </w:rPr>
        <w:t>手术室</w:t>
      </w:r>
      <w:r>
        <w:rPr>
          <w:rFonts w:asciiTheme="minorEastAsia" w:hAnsiTheme="minorEastAsia"/>
          <w:bCs/>
          <w:u w:val="single"/>
        </w:rPr>
        <w:t>面积根据不同级别和手术要求不同。一般</w:t>
      </w:r>
      <w:r>
        <w:rPr>
          <w:rFonts w:hint="eastAsia" w:asciiTheme="minorEastAsia" w:hAnsiTheme="minorEastAsia"/>
          <w:bCs/>
          <w:u w:val="single"/>
        </w:rPr>
        <w:t>眼科</w:t>
      </w:r>
      <w:r>
        <w:rPr>
          <w:rFonts w:asciiTheme="minorEastAsia" w:hAnsiTheme="minorEastAsia"/>
          <w:bCs/>
          <w:u w:val="single"/>
        </w:rPr>
        <w:t>和肛肠科</w:t>
      </w:r>
      <w:r>
        <w:rPr>
          <w:rFonts w:hint="eastAsia" w:asciiTheme="minorEastAsia" w:hAnsiTheme="minorEastAsia"/>
          <w:bCs/>
          <w:u w:val="single"/>
        </w:rPr>
        <w:t>手术间较小</w:t>
      </w:r>
      <w:r>
        <w:rPr>
          <w:rFonts w:asciiTheme="minorEastAsia" w:hAnsiTheme="minorEastAsia"/>
          <w:bCs/>
          <w:u w:val="single"/>
        </w:rPr>
        <w:t>，建议在</w:t>
      </w:r>
      <w:r>
        <w:rPr>
          <w:rFonts w:hint="eastAsia" w:asciiTheme="minorEastAsia" w:hAnsiTheme="minorEastAsia"/>
          <w:bCs/>
          <w:u w:val="single"/>
        </w:rPr>
        <w:t>25</w:t>
      </w:r>
      <w:r>
        <w:rPr>
          <w:rFonts w:asciiTheme="minorEastAsia" w:hAnsiTheme="minorEastAsia"/>
          <w:bCs/>
          <w:u w:val="single"/>
        </w:rPr>
        <w:t>～30</w:t>
      </w:r>
      <w:r>
        <w:rPr>
          <w:rFonts w:hint="eastAsia" w:asciiTheme="minorEastAsia" w:hAnsiTheme="minorEastAsia"/>
          <w:bCs/>
          <w:u w:val="single"/>
        </w:rPr>
        <w:t>m</w:t>
      </w:r>
      <w:r>
        <w:rPr>
          <w:rFonts w:cs="Calibri" w:asciiTheme="minorEastAsia" w:hAnsiTheme="minorEastAsia"/>
          <w:bCs/>
          <w:u w:val="single"/>
        </w:rPr>
        <w:t>²</w:t>
      </w:r>
      <w:r>
        <w:rPr>
          <w:rFonts w:asciiTheme="minorEastAsia" w:hAnsiTheme="minorEastAsia"/>
          <w:bCs/>
          <w:u w:val="single"/>
        </w:rPr>
        <w:t>，腔镜和普通外科手术室在30～40</w:t>
      </w:r>
      <w:r>
        <w:rPr>
          <w:rFonts w:hint="eastAsia" w:asciiTheme="minorEastAsia" w:hAnsiTheme="minorEastAsia"/>
          <w:bCs/>
          <w:u w:val="single"/>
        </w:rPr>
        <w:t>m</w:t>
      </w:r>
      <w:r>
        <w:rPr>
          <w:rFonts w:cs="Calibri" w:asciiTheme="minorEastAsia" w:hAnsiTheme="minorEastAsia"/>
          <w:bCs/>
          <w:u w:val="single"/>
        </w:rPr>
        <w:t>²</w:t>
      </w:r>
      <w:r>
        <w:rPr>
          <w:rFonts w:hint="eastAsia" w:asciiTheme="minorEastAsia" w:hAnsiTheme="minorEastAsia"/>
          <w:bCs/>
          <w:u w:val="single"/>
        </w:rPr>
        <w:t>，</w:t>
      </w:r>
      <w:r>
        <w:rPr>
          <w:rFonts w:asciiTheme="minorEastAsia" w:hAnsiTheme="minorEastAsia"/>
          <w:bCs/>
          <w:u w:val="single"/>
        </w:rPr>
        <w:t>骨科</w:t>
      </w:r>
      <w:r>
        <w:rPr>
          <w:rFonts w:hint="eastAsia" w:asciiTheme="minorEastAsia" w:hAnsiTheme="minorEastAsia"/>
          <w:bCs/>
          <w:u w:val="single"/>
        </w:rPr>
        <w:t>手术</w:t>
      </w:r>
      <w:r>
        <w:rPr>
          <w:rFonts w:asciiTheme="minorEastAsia" w:hAnsiTheme="minorEastAsia"/>
          <w:bCs/>
          <w:u w:val="single"/>
        </w:rPr>
        <w:t>由于C</w:t>
      </w:r>
      <w:r>
        <w:rPr>
          <w:rFonts w:hint="eastAsia" w:asciiTheme="minorEastAsia" w:hAnsiTheme="minorEastAsia"/>
          <w:bCs/>
          <w:u w:val="single"/>
        </w:rPr>
        <w:t>臂</w:t>
      </w:r>
      <w:r>
        <w:rPr>
          <w:rFonts w:asciiTheme="minorEastAsia" w:hAnsiTheme="minorEastAsia"/>
          <w:bCs/>
          <w:u w:val="single"/>
        </w:rPr>
        <w:t>机等设备要求，建议在40～45</w:t>
      </w:r>
      <w:r>
        <w:rPr>
          <w:rFonts w:hint="eastAsia" w:asciiTheme="minorEastAsia" w:hAnsiTheme="minorEastAsia"/>
          <w:bCs/>
          <w:u w:val="single"/>
        </w:rPr>
        <w:t>m</w:t>
      </w:r>
      <w:r>
        <w:rPr>
          <w:rFonts w:cs="Calibri" w:asciiTheme="minorEastAsia" w:hAnsiTheme="minorEastAsia"/>
          <w:bCs/>
          <w:u w:val="single"/>
        </w:rPr>
        <w:t>²</w:t>
      </w:r>
      <w:r>
        <w:rPr>
          <w:rFonts w:hint="eastAsia" w:asciiTheme="minorEastAsia" w:hAnsiTheme="minorEastAsia"/>
          <w:bCs/>
          <w:u w:val="single"/>
        </w:rPr>
        <w:t>，</w:t>
      </w:r>
      <w:r>
        <w:rPr>
          <w:rFonts w:asciiTheme="minorEastAsia" w:hAnsiTheme="minorEastAsia"/>
          <w:bCs/>
          <w:u w:val="single"/>
        </w:rPr>
        <w:t>心脏等需要百级</w:t>
      </w:r>
      <w:r>
        <w:rPr>
          <w:rFonts w:hint="eastAsia" w:asciiTheme="minorEastAsia" w:hAnsiTheme="minorEastAsia"/>
          <w:bCs/>
          <w:u w:val="single"/>
        </w:rPr>
        <w:t>净化</w:t>
      </w:r>
      <w:r>
        <w:rPr>
          <w:rFonts w:asciiTheme="minorEastAsia" w:hAnsiTheme="minorEastAsia"/>
          <w:bCs/>
          <w:u w:val="single"/>
        </w:rPr>
        <w:t>的手术，建议在50～60</w:t>
      </w:r>
      <w:r>
        <w:rPr>
          <w:rFonts w:hint="eastAsia" w:asciiTheme="minorEastAsia" w:hAnsiTheme="minorEastAsia"/>
          <w:bCs/>
          <w:u w:val="single"/>
        </w:rPr>
        <w:t>m</w:t>
      </w:r>
      <w:r>
        <w:rPr>
          <w:rFonts w:cs="Calibri" w:asciiTheme="minorEastAsia" w:hAnsiTheme="minorEastAsia"/>
          <w:bCs/>
          <w:u w:val="single"/>
        </w:rPr>
        <w:t>²</w:t>
      </w:r>
      <w:r>
        <w:rPr>
          <w:rFonts w:hint="eastAsia" w:asciiTheme="minorEastAsia" w:hAnsiTheme="minorEastAsia"/>
          <w:bCs/>
          <w:u w:val="single"/>
        </w:rPr>
        <w:t>。近</w:t>
      </w:r>
      <w:r>
        <w:rPr>
          <w:rFonts w:asciiTheme="minorEastAsia" w:hAnsiTheme="minorEastAsia"/>
          <w:bCs/>
          <w:u w:val="single"/>
        </w:rPr>
        <w:t>年</w:t>
      </w:r>
      <w:r>
        <w:rPr>
          <w:rFonts w:hint="eastAsia" w:asciiTheme="minorEastAsia" w:hAnsiTheme="minorEastAsia"/>
          <w:bCs/>
          <w:u w:val="single"/>
        </w:rPr>
        <w:t>发展</w:t>
      </w:r>
      <w:r>
        <w:rPr>
          <w:rFonts w:asciiTheme="minorEastAsia" w:hAnsiTheme="minorEastAsia"/>
          <w:bCs/>
          <w:u w:val="single"/>
        </w:rPr>
        <w:t>看，</w:t>
      </w:r>
      <w:r>
        <w:rPr>
          <w:rFonts w:hint="eastAsia" w:asciiTheme="minorEastAsia" w:hAnsiTheme="minorEastAsia"/>
          <w:bCs/>
          <w:u w:val="single"/>
        </w:rPr>
        <w:t>手术</w:t>
      </w:r>
      <w:r>
        <w:rPr>
          <w:rFonts w:asciiTheme="minorEastAsia" w:hAnsiTheme="minorEastAsia"/>
          <w:bCs/>
          <w:u w:val="single"/>
        </w:rPr>
        <w:t>室有增大的趋势，一般在45～50</w:t>
      </w:r>
      <w:r>
        <w:rPr>
          <w:rFonts w:hint="eastAsia" w:asciiTheme="minorEastAsia" w:hAnsiTheme="minorEastAsia"/>
          <w:bCs/>
          <w:u w:val="single"/>
        </w:rPr>
        <w:t>m</w:t>
      </w:r>
      <w:r>
        <w:rPr>
          <w:rFonts w:cs="Calibri" w:asciiTheme="minorEastAsia" w:hAnsiTheme="minorEastAsia"/>
          <w:bCs/>
          <w:u w:val="single"/>
        </w:rPr>
        <w:t>²</w:t>
      </w:r>
      <w:r>
        <w:rPr>
          <w:rFonts w:hint="eastAsia" w:asciiTheme="minorEastAsia" w:hAnsiTheme="minorEastAsia"/>
          <w:bCs/>
          <w:u w:val="single"/>
        </w:rPr>
        <w:t>左右</w:t>
      </w:r>
      <w:r>
        <w:rPr>
          <w:rFonts w:asciiTheme="minorEastAsia" w:hAnsiTheme="minorEastAsia"/>
          <w:bCs/>
          <w:u w:val="single"/>
        </w:rPr>
        <w:t>。</w:t>
      </w:r>
    </w:p>
    <w:p w14:paraId="511149B0">
      <w:pPr>
        <w:ind w:firstLine="480" w:firstLineChars="200"/>
        <w:rPr>
          <w:rFonts w:cs="宋体" w:asciiTheme="minorEastAsia" w:hAnsiTheme="minorEastAsia"/>
          <w:bCs/>
          <w:sz w:val="22"/>
          <w:szCs w:val="22"/>
        </w:rPr>
      </w:pPr>
      <w:r>
        <w:rPr>
          <w:rFonts w:hint="eastAsia" w:cs="宋体" w:asciiTheme="minorEastAsia" w:hAnsiTheme="minorEastAsia"/>
          <w:bCs/>
          <w:szCs w:val="32"/>
        </w:rPr>
        <w:t>刷手</w:t>
      </w:r>
      <w:r>
        <w:rPr>
          <w:rFonts w:cs="宋体" w:asciiTheme="minorEastAsia" w:hAnsiTheme="minorEastAsia"/>
          <w:bCs/>
          <w:szCs w:val="32"/>
        </w:rPr>
        <w:t>间的布置</w:t>
      </w:r>
      <w:r>
        <w:rPr>
          <w:rFonts w:hint="eastAsia" w:cs="宋体" w:asciiTheme="minorEastAsia" w:hAnsiTheme="minorEastAsia"/>
          <w:bCs/>
          <w:szCs w:val="32"/>
        </w:rPr>
        <w:t>应</w:t>
      </w:r>
      <w:r>
        <w:rPr>
          <w:rFonts w:cs="宋体" w:asciiTheme="minorEastAsia" w:hAnsiTheme="minorEastAsia"/>
          <w:bCs/>
          <w:szCs w:val="32"/>
        </w:rPr>
        <w:t>便于刷</w:t>
      </w:r>
      <w:r>
        <w:rPr>
          <w:rFonts w:hint="eastAsia" w:cs="宋体" w:asciiTheme="minorEastAsia" w:hAnsiTheme="minorEastAsia"/>
          <w:bCs/>
          <w:szCs w:val="32"/>
        </w:rPr>
        <w:t>手</w:t>
      </w:r>
      <w:r>
        <w:rPr>
          <w:rFonts w:cs="宋体" w:asciiTheme="minorEastAsia" w:hAnsiTheme="minorEastAsia"/>
          <w:bCs/>
          <w:szCs w:val="32"/>
        </w:rPr>
        <w:t>后能最短距离进入手术室。一般</w:t>
      </w:r>
      <w:r>
        <w:rPr>
          <w:rFonts w:hint="eastAsia" w:cs="宋体" w:asciiTheme="minorEastAsia" w:hAnsiTheme="minorEastAsia"/>
          <w:bCs/>
          <w:szCs w:val="32"/>
        </w:rPr>
        <w:t>在</w:t>
      </w:r>
      <w:r>
        <w:rPr>
          <w:rFonts w:cs="宋体" w:asciiTheme="minorEastAsia" w:hAnsiTheme="minorEastAsia"/>
          <w:bCs/>
          <w:szCs w:val="32"/>
        </w:rPr>
        <w:t>两个手术室之间设刷手间，内设刷手池。为</w:t>
      </w:r>
      <w:r>
        <w:rPr>
          <w:rFonts w:hint="eastAsia" w:cs="宋体" w:asciiTheme="minorEastAsia" w:hAnsiTheme="minorEastAsia"/>
          <w:bCs/>
          <w:szCs w:val="32"/>
        </w:rPr>
        <w:t>避免</w:t>
      </w:r>
      <w:r>
        <w:rPr>
          <w:rFonts w:cs="宋体" w:asciiTheme="minorEastAsia" w:hAnsiTheme="minorEastAsia"/>
          <w:bCs/>
          <w:szCs w:val="32"/>
        </w:rPr>
        <w:t>刷手后开门时的污染，不设门。</w:t>
      </w:r>
    </w:p>
    <w:p w14:paraId="1F44D7BB">
      <w:pPr>
        <w:spacing w:before="312" w:beforeLines="100"/>
        <w:rPr>
          <w:rFonts w:asciiTheme="minorEastAsia" w:hAnsiTheme="minorEastAsia"/>
          <w:bCs/>
          <w:u w:val="single"/>
        </w:rPr>
      </w:pPr>
      <w:r>
        <w:rPr>
          <w:rFonts w:hint="eastAsia" w:asciiTheme="minorEastAsia" w:hAnsiTheme="minorEastAsia"/>
          <w:bCs/>
          <w:u w:val="single"/>
        </w:rPr>
        <w:t>5.7.</w:t>
      </w:r>
      <w:r>
        <w:rPr>
          <w:rFonts w:asciiTheme="minorEastAsia" w:hAnsiTheme="minorEastAsia"/>
          <w:bCs/>
          <w:u w:val="single"/>
        </w:rPr>
        <w:t xml:space="preserve">7 </w:t>
      </w:r>
      <w:r>
        <w:rPr>
          <w:rFonts w:hint="eastAsia" w:asciiTheme="minorEastAsia" w:hAnsiTheme="minorEastAsia"/>
          <w:bCs/>
          <w:u w:val="single"/>
        </w:rPr>
        <w:t>日间</w:t>
      </w:r>
      <w:r>
        <w:rPr>
          <w:rFonts w:asciiTheme="minorEastAsia" w:hAnsiTheme="minorEastAsia"/>
          <w:bCs/>
          <w:u w:val="single"/>
        </w:rPr>
        <w:t>手术部可以单独设置，也可以结合</w:t>
      </w:r>
      <w:r>
        <w:rPr>
          <w:rFonts w:hint="eastAsia" w:asciiTheme="minorEastAsia" w:hAnsiTheme="minorEastAsia"/>
          <w:bCs/>
          <w:u w:val="single"/>
        </w:rPr>
        <w:t>手术</w:t>
      </w:r>
      <w:r>
        <w:rPr>
          <w:rFonts w:asciiTheme="minorEastAsia" w:hAnsiTheme="minorEastAsia"/>
          <w:bCs/>
          <w:u w:val="single"/>
        </w:rPr>
        <w:t>中心设置。</w:t>
      </w:r>
      <w:r>
        <w:rPr>
          <w:rFonts w:hint="eastAsia" w:asciiTheme="minorEastAsia" w:hAnsiTheme="minorEastAsia"/>
          <w:bCs/>
          <w:u w:val="single"/>
        </w:rPr>
        <w:t>单独设置</w:t>
      </w:r>
      <w:r>
        <w:rPr>
          <w:rFonts w:asciiTheme="minorEastAsia" w:hAnsiTheme="minorEastAsia"/>
          <w:bCs/>
          <w:u w:val="single"/>
        </w:rPr>
        <w:t>时按手术部要求设计，结合</w:t>
      </w:r>
      <w:r>
        <w:rPr>
          <w:rFonts w:hint="eastAsia" w:asciiTheme="minorEastAsia" w:hAnsiTheme="minorEastAsia"/>
          <w:bCs/>
          <w:u w:val="single"/>
        </w:rPr>
        <w:t>布置</w:t>
      </w:r>
      <w:r>
        <w:rPr>
          <w:rFonts w:asciiTheme="minorEastAsia" w:hAnsiTheme="minorEastAsia"/>
          <w:bCs/>
          <w:u w:val="single"/>
        </w:rPr>
        <w:t>时</w:t>
      </w:r>
      <w:r>
        <w:rPr>
          <w:rFonts w:hint="eastAsia" w:asciiTheme="minorEastAsia" w:hAnsiTheme="minorEastAsia"/>
          <w:bCs/>
          <w:u w:val="single"/>
        </w:rPr>
        <w:t>应独立</w:t>
      </w:r>
      <w:r>
        <w:rPr>
          <w:rFonts w:asciiTheme="minorEastAsia" w:hAnsiTheme="minorEastAsia"/>
          <w:bCs/>
          <w:u w:val="single"/>
        </w:rPr>
        <w:t>设置</w:t>
      </w:r>
      <w:r>
        <w:rPr>
          <w:rFonts w:hint="eastAsia" w:asciiTheme="minorEastAsia" w:hAnsiTheme="minorEastAsia"/>
          <w:bCs/>
          <w:u w:val="single"/>
        </w:rPr>
        <w:t>换床</w:t>
      </w:r>
      <w:r>
        <w:rPr>
          <w:rFonts w:asciiTheme="minorEastAsia" w:hAnsiTheme="minorEastAsia"/>
          <w:bCs/>
          <w:u w:val="single"/>
        </w:rPr>
        <w:t>、术前准备、术后恢复和</w:t>
      </w:r>
      <w:r>
        <w:rPr>
          <w:rFonts w:hint="eastAsia" w:asciiTheme="minorEastAsia" w:hAnsiTheme="minorEastAsia"/>
          <w:bCs/>
          <w:u w:val="single"/>
        </w:rPr>
        <w:t>洁净</w:t>
      </w:r>
      <w:r>
        <w:rPr>
          <w:rFonts w:asciiTheme="minorEastAsia" w:hAnsiTheme="minorEastAsia"/>
          <w:bCs/>
          <w:u w:val="single"/>
        </w:rPr>
        <w:t>品库</w:t>
      </w:r>
      <w:r>
        <w:rPr>
          <w:rFonts w:hint="eastAsia" w:asciiTheme="minorEastAsia" w:hAnsiTheme="minorEastAsia"/>
          <w:bCs/>
          <w:u w:val="single"/>
        </w:rPr>
        <w:t>。</w:t>
      </w:r>
    </w:p>
    <w:p w14:paraId="2F14DEE7">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5.9</w:t>
      </w:r>
      <w:r>
        <w:rPr>
          <w:rFonts w:cs="宋体" w:asciiTheme="minorEastAsia" w:hAnsiTheme="minorEastAsia"/>
          <w:b/>
          <w:sz w:val="28"/>
          <w:szCs w:val="30"/>
        </w:rPr>
        <w:t xml:space="preserve"> </w:t>
      </w:r>
      <w:r>
        <w:rPr>
          <w:rFonts w:hint="eastAsia" w:cs="宋体" w:asciiTheme="minorEastAsia" w:hAnsiTheme="minorEastAsia"/>
          <w:b/>
          <w:sz w:val="28"/>
          <w:szCs w:val="30"/>
        </w:rPr>
        <w:t>磁共振检查室用房</w:t>
      </w:r>
    </w:p>
    <w:p w14:paraId="4EB7FFB6">
      <w:pPr>
        <w:spacing w:before="312" w:beforeLines="100"/>
        <w:rPr>
          <w:rFonts w:cs="宋体" w:asciiTheme="minorEastAsia" w:hAnsiTheme="minorEastAsia"/>
          <w:bCs/>
        </w:rPr>
      </w:pPr>
      <w:r>
        <w:rPr>
          <w:rFonts w:cs="宋体" w:asciiTheme="minorEastAsia" w:hAnsiTheme="minorEastAsia"/>
          <w:bCs/>
        </w:rPr>
        <w:t xml:space="preserve">5.9.1 </w:t>
      </w:r>
      <w:r>
        <w:rPr>
          <w:rFonts w:hint="eastAsia" w:cs="宋体" w:asciiTheme="minorEastAsia" w:hAnsiTheme="minorEastAsia"/>
          <w:bCs/>
        </w:rPr>
        <w:t>磁共振诊断设备机房应尽可能避免与电梯、自动扶梯、发电机、电机、直线加速器及汽车频繁经过的车道相邻，并且尽可能与大量人流聚集处间隔一段距离，避免其磁场干扰心脏起搏器的工作，危及患者生命。</w:t>
      </w:r>
    </w:p>
    <w:p w14:paraId="03D9C103">
      <w:pPr>
        <w:ind w:firstLine="480" w:firstLineChars="200"/>
        <w:rPr>
          <w:rFonts w:cs="宋体" w:asciiTheme="minorEastAsia" w:hAnsiTheme="minorEastAsia"/>
          <w:bCs/>
        </w:rPr>
      </w:pPr>
      <w:r>
        <w:rPr>
          <w:rFonts w:hint="eastAsia" w:cs="宋体" w:asciiTheme="minorEastAsia" w:hAnsiTheme="minorEastAsia"/>
          <w:bCs/>
        </w:rPr>
        <w:t>为达到磁共振基准磁场的要求，对建筑物钢筋混凝土结构中的钢筋用量应有一定的限制，具体按设备安装要求确定，否则会影响磁场的均匀性，降低图像质量。磁共振设备单件自重很大，超导型主磁及氦容器需要整体运输、主磁体约</w:t>
      </w:r>
      <w:r>
        <w:rPr>
          <w:rFonts w:cs="宋体" w:asciiTheme="minorEastAsia" w:hAnsiTheme="minorEastAsia"/>
          <w:bCs/>
        </w:rPr>
        <w:t>7t</w:t>
      </w:r>
      <w:r>
        <w:rPr>
          <w:rFonts w:hint="eastAsia" w:cs="宋体" w:asciiTheme="minorEastAsia" w:hAnsiTheme="minorEastAsia"/>
          <w:bCs/>
        </w:rPr>
        <w:t>～</w:t>
      </w:r>
      <w:r>
        <w:rPr>
          <w:rFonts w:cs="宋体" w:asciiTheme="minorEastAsia" w:hAnsiTheme="minorEastAsia"/>
          <w:bCs/>
        </w:rPr>
        <w:t>13t</w:t>
      </w:r>
      <w:r>
        <w:rPr>
          <w:rFonts w:hint="eastAsia" w:cs="宋体" w:asciiTheme="minorEastAsia" w:hAnsiTheme="minorEastAsia"/>
          <w:bCs/>
        </w:rPr>
        <w:t>，运输安装的最小孔道尺寸为</w:t>
      </w:r>
      <w:r>
        <w:rPr>
          <w:rFonts w:cs="宋体" w:asciiTheme="minorEastAsia" w:hAnsiTheme="minorEastAsia"/>
          <w:bCs/>
        </w:rPr>
        <w:t>2.80m</w:t>
      </w:r>
      <w:r>
        <w:rPr>
          <w:rFonts w:hint="eastAsia" w:cs="宋体" w:asciiTheme="minorEastAsia" w:hAnsiTheme="minorEastAsia"/>
          <w:bCs/>
        </w:rPr>
        <w:t>高，</w:t>
      </w:r>
      <w:r>
        <w:rPr>
          <w:rFonts w:cs="宋体" w:asciiTheme="minorEastAsia" w:hAnsiTheme="minorEastAsia"/>
          <w:bCs/>
        </w:rPr>
        <w:t>2.50m</w:t>
      </w:r>
      <w:r>
        <w:rPr>
          <w:rFonts w:hint="eastAsia" w:cs="宋体" w:asciiTheme="minorEastAsia" w:hAnsiTheme="minorEastAsia"/>
          <w:bCs/>
        </w:rPr>
        <w:t>宽，因此要充分考虑磁体的运送通道以及磁体基础。</w:t>
      </w:r>
    </w:p>
    <w:p w14:paraId="53CE460A">
      <w:pPr>
        <w:ind w:firstLine="480" w:firstLineChars="200"/>
        <w:rPr>
          <w:rFonts w:cs="宋体" w:asciiTheme="minorEastAsia" w:hAnsiTheme="minorEastAsia"/>
          <w:bCs/>
          <w:u w:val="single"/>
        </w:rPr>
      </w:pPr>
      <w:r>
        <w:rPr>
          <w:rFonts w:hint="eastAsia" w:asciiTheme="minorEastAsia" w:hAnsiTheme="minorEastAsia"/>
          <w:bCs/>
          <w:u w:val="single"/>
        </w:rPr>
        <w:t>磁共振诊断设备机房入口处宜设置金属探测仪，避免患者携带金属物件，在检查时因磁场吸引造成意外伤害。</w:t>
      </w:r>
    </w:p>
    <w:p w14:paraId="2B61BF15">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5.10</w:t>
      </w:r>
      <w:r>
        <w:rPr>
          <w:rFonts w:cs="宋体" w:asciiTheme="minorEastAsia" w:hAnsiTheme="minorEastAsia"/>
          <w:b/>
          <w:sz w:val="28"/>
          <w:szCs w:val="30"/>
        </w:rPr>
        <w:t xml:space="preserve"> </w:t>
      </w:r>
      <w:r>
        <w:rPr>
          <w:rFonts w:hint="eastAsia" w:cs="宋体" w:asciiTheme="minorEastAsia" w:hAnsiTheme="minorEastAsia"/>
          <w:b/>
          <w:sz w:val="28"/>
          <w:szCs w:val="30"/>
        </w:rPr>
        <w:t>放射治疗科用房</w:t>
      </w:r>
    </w:p>
    <w:p w14:paraId="5FEC4D1D">
      <w:pPr>
        <w:spacing w:before="312" w:beforeLines="100"/>
        <w:rPr>
          <w:rFonts w:cs="宋体" w:asciiTheme="minorEastAsia" w:hAnsiTheme="minorEastAsia"/>
          <w:bCs/>
          <w:bdr w:val="single" w:color="auto" w:sz="4" w:space="0"/>
        </w:rPr>
      </w:pPr>
      <w:r>
        <w:rPr>
          <w:rFonts w:hint="eastAsia" w:cs="宋体" w:asciiTheme="minorEastAsia" w:hAnsiTheme="minorEastAsia"/>
          <w:bCs/>
          <w:bdr w:val="single" w:color="auto" w:sz="4" w:space="0"/>
        </w:rPr>
        <w:t>5.10.4 钴60治疗室、加速器治疗室、γ刀治疗室及后装机、治疗室的出入口应设迷路，且有用线束照射方向应尽可能避免照射在迷路墙上。防护门和迷路的净宽均应满足设备要求。</w:t>
      </w:r>
    </w:p>
    <w:p w14:paraId="07572C21">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5.11 核医学科用房</w:t>
      </w:r>
    </w:p>
    <w:p w14:paraId="36449241">
      <w:pPr>
        <w:spacing w:before="312" w:beforeLines="100"/>
        <w:rPr>
          <w:rFonts w:cs="宋体" w:asciiTheme="minorEastAsia" w:hAnsiTheme="minorEastAsia"/>
          <w:bCs/>
        </w:rPr>
      </w:pPr>
      <w:r>
        <w:rPr>
          <w:rFonts w:cs="宋体" w:asciiTheme="minorEastAsia" w:hAnsiTheme="minorEastAsia"/>
          <w:bCs/>
        </w:rPr>
        <w:t xml:space="preserve">5.11.1 </w:t>
      </w:r>
      <w:r>
        <w:rPr>
          <w:rFonts w:hint="eastAsia" w:cs="宋体" w:asciiTheme="minorEastAsia" w:hAnsiTheme="minorEastAsia"/>
          <w:bCs/>
        </w:rPr>
        <w:t>由于放射性同位素释放的射线可引起物质电离，如应用管理不当可损害人体正常细胞，因此，放射性同位素室宜单独设置在院区最多风向的下风向一侧，避开人口稠密区。但一所医院的下风向，有可能是邻近另一个单位的上风向，应采用吸附过滤装置，才能做到达标排放。</w:t>
      </w:r>
    </w:p>
    <w:p w14:paraId="7FAB9E27">
      <w:pPr>
        <w:ind w:firstLine="480" w:firstLineChars="200"/>
        <w:rPr>
          <w:rFonts w:cs="宋体" w:asciiTheme="minorEastAsia" w:hAnsiTheme="minorEastAsia"/>
          <w:bCs/>
          <w:szCs w:val="32"/>
        </w:rPr>
      </w:pPr>
      <w:r>
        <w:rPr>
          <w:rFonts w:hint="eastAsia" w:cs="宋体" w:asciiTheme="minorEastAsia" w:hAnsiTheme="minorEastAsia"/>
          <w:bCs/>
          <w:szCs w:val="32"/>
        </w:rPr>
        <w:t>按照</w:t>
      </w:r>
      <w:r>
        <w:rPr>
          <w:rFonts w:hint="eastAsia" w:cs="宋体" w:asciiTheme="minorEastAsia" w:hAnsiTheme="minorEastAsia"/>
          <w:bCs/>
          <w:szCs w:val="32"/>
          <w:bdr w:val="single" w:color="auto" w:sz="4" w:space="0"/>
        </w:rPr>
        <w:t>《临床核医学卫生防护标准》</w:t>
      </w:r>
      <w:r>
        <w:rPr>
          <w:rFonts w:cs="宋体" w:asciiTheme="minorEastAsia" w:hAnsiTheme="minorEastAsia"/>
          <w:bCs/>
          <w:szCs w:val="32"/>
          <w:bdr w:val="single" w:color="auto" w:sz="4" w:space="0"/>
        </w:rPr>
        <w:t>GBZ120</w:t>
      </w:r>
      <w:r>
        <w:rPr>
          <w:rFonts w:hint="eastAsia" w:cs="宋体" w:asciiTheme="minorEastAsia" w:hAnsiTheme="minorEastAsia"/>
          <w:bCs/>
          <w:szCs w:val="32"/>
          <w:u w:val="single"/>
        </w:rPr>
        <w:t>《核医学放射防护要求》</w:t>
      </w:r>
      <w:r>
        <w:rPr>
          <w:rFonts w:hint="eastAsia" w:cs="宋体" w:asciiTheme="minorEastAsia" w:hAnsiTheme="minorEastAsia"/>
          <w:bCs/>
          <w:szCs w:val="32"/>
        </w:rPr>
        <w:t>G</w:t>
      </w:r>
      <w:r>
        <w:rPr>
          <w:rFonts w:cs="宋体" w:asciiTheme="minorEastAsia" w:hAnsiTheme="minorEastAsia"/>
          <w:bCs/>
          <w:szCs w:val="32"/>
        </w:rPr>
        <w:t>BZ120-2020</w:t>
      </w:r>
      <w:r>
        <w:rPr>
          <w:rFonts w:hint="eastAsia" w:cs="宋体" w:asciiTheme="minorEastAsia" w:hAnsiTheme="minorEastAsia"/>
          <w:bCs/>
          <w:szCs w:val="32"/>
        </w:rPr>
        <w:t>的规定，依据管理需要核医学工作场所分为三区，即控制区、监督区与非限制区。其中各区的定义为：</w:t>
      </w:r>
    </w:p>
    <w:p w14:paraId="75DF3680">
      <w:pPr>
        <w:ind w:firstLine="480" w:firstLineChars="200"/>
        <w:rPr>
          <w:rFonts w:cs="宋体" w:asciiTheme="minorEastAsia" w:hAnsiTheme="minorEastAsia"/>
          <w:bCs/>
          <w:szCs w:val="32"/>
        </w:rPr>
      </w:pPr>
      <w:r>
        <w:rPr>
          <w:rFonts w:hint="eastAsia" w:cs="宋体" w:asciiTheme="minorEastAsia" w:hAnsiTheme="minorEastAsia"/>
          <w:bCs/>
          <w:szCs w:val="32"/>
        </w:rPr>
        <w:t>控制区：</w:t>
      </w:r>
      <w:r>
        <w:rPr>
          <w:rFonts w:hint="eastAsia" w:cs="宋体" w:asciiTheme="minorEastAsia" w:hAnsiTheme="minorEastAsia"/>
          <w:bCs/>
          <w:szCs w:val="32"/>
          <w:bdr w:val="single" w:color="auto" w:sz="4" w:space="0"/>
        </w:rPr>
        <w:t>在其中连续工作的人员一年内受到的照射剂量可能超过年限值</w:t>
      </w:r>
      <w:r>
        <w:rPr>
          <w:rFonts w:cs="宋体" w:asciiTheme="minorEastAsia" w:hAnsiTheme="minorEastAsia"/>
          <w:bCs/>
          <w:szCs w:val="32"/>
          <w:bdr w:val="single" w:color="auto" w:sz="4" w:space="0"/>
        </w:rPr>
        <w:t>3/10</w:t>
      </w:r>
      <w:r>
        <w:rPr>
          <w:rFonts w:hint="eastAsia" w:cs="宋体" w:asciiTheme="minorEastAsia" w:hAnsiTheme="minorEastAsia"/>
          <w:bCs/>
          <w:szCs w:val="32"/>
          <w:bdr w:val="single" w:color="auto" w:sz="4" w:space="0"/>
        </w:rPr>
        <w:t>的区域，如床位区等。</w:t>
      </w:r>
      <w:r>
        <w:rPr>
          <w:rFonts w:hint="eastAsia" w:asciiTheme="minorEastAsia" w:hAnsiTheme="minorEastAsia"/>
          <w:bCs/>
          <w:u w:val="single"/>
        </w:rPr>
        <w:t>在辐射工作场所划分的一种区域，在这种区域内要求或可能要求采取专门的防护手段和安全措施，以便在正常工作条件下控制正常照射或防止污染扩散，以及防止潜在照射或限制其程度。</w:t>
      </w:r>
    </w:p>
    <w:p w14:paraId="0F3AC1EA">
      <w:pPr>
        <w:ind w:firstLine="480" w:firstLineChars="200"/>
        <w:rPr>
          <w:rFonts w:cs="宋体" w:asciiTheme="minorEastAsia" w:hAnsiTheme="minorEastAsia"/>
          <w:bCs/>
          <w:szCs w:val="32"/>
        </w:rPr>
      </w:pPr>
      <w:r>
        <w:rPr>
          <w:rFonts w:hint="eastAsia" w:cs="宋体" w:asciiTheme="minorEastAsia" w:hAnsiTheme="minorEastAsia"/>
          <w:bCs/>
          <w:szCs w:val="32"/>
        </w:rPr>
        <w:t>监督区：</w:t>
      </w:r>
      <w:r>
        <w:rPr>
          <w:rFonts w:hint="eastAsia" w:cs="宋体" w:asciiTheme="minorEastAsia" w:hAnsiTheme="minorEastAsia"/>
          <w:bCs/>
          <w:szCs w:val="32"/>
          <w:bdr w:val="single" w:color="auto" w:sz="4" w:space="0"/>
        </w:rPr>
        <w:t>在其中连续工作的人员一年内受到的照射剂量一般不超过年限值</w:t>
      </w:r>
      <w:r>
        <w:rPr>
          <w:rFonts w:cs="宋体" w:asciiTheme="minorEastAsia" w:hAnsiTheme="minorEastAsia"/>
          <w:bCs/>
          <w:szCs w:val="32"/>
          <w:bdr w:val="single" w:color="auto" w:sz="4" w:space="0"/>
        </w:rPr>
        <w:t>3/10</w:t>
      </w:r>
      <w:r>
        <w:rPr>
          <w:rFonts w:hint="eastAsia" w:cs="宋体" w:asciiTheme="minorEastAsia" w:hAnsiTheme="minorEastAsia"/>
          <w:bCs/>
          <w:szCs w:val="32"/>
          <w:bdr w:val="single" w:color="auto" w:sz="4" w:space="0"/>
        </w:rPr>
        <w:t>的区域。</w:t>
      </w:r>
      <w:r>
        <w:rPr>
          <w:rFonts w:hint="eastAsia" w:asciiTheme="minorEastAsia" w:hAnsiTheme="minorEastAsia"/>
          <w:bCs/>
          <w:u w:val="single"/>
        </w:rPr>
        <w:t>在辐射工作场所中未指定作为控制区的一个规定区域，但就该区域而言，即使通常不需要采取非专门防护措施或安全手段，也要对职业照射情况不断进行审查。</w:t>
      </w:r>
    </w:p>
    <w:p w14:paraId="5C2DF9C2">
      <w:pPr>
        <w:ind w:firstLine="480" w:firstLineChars="200"/>
        <w:rPr>
          <w:rFonts w:cs="宋体" w:asciiTheme="minorEastAsia" w:hAnsiTheme="minorEastAsia"/>
          <w:bCs/>
          <w:szCs w:val="32"/>
          <w:bdr w:val="single" w:color="auto" w:sz="4" w:space="0"/>
        </w:rPr>
      </w:pPr>
      <w:r>
        <w:rPr>
          <w:rFonts w:hint="eastAsia" w:cs="宋体" w:asciiTheme="minorEastAsia" w:hAnsiTheme="minorEastAsia"/>
          <w:bCs/>
          <w:szCs w:val="32"/>
          <w:bdr w:val="single" w:color="auto" w:sz="4" w:space="0"/>
        </w:rPr>
        <w:t>非限制区：在其中连续工作的人员一年内受到的照射剂量一般不超过年限值</w:t>
      </w:r>
      <w:r>
        <w:rPr>
          <w:rFonts w:cs="宋体" w:asciiTheme="minorEastAsia" w:hAnsiTheme="minorEastAsia"/>
          <w:bCs/>
          <w:szCs w:val="32"/>
          <w:bdr w:val="single" w:color="auto" w:sz="4" w:space="0"/>
        </w:rPr>
        <w:t>1/10</w:t>
      </w:r>
      <w:r>
        <w:rPr>
          <w:rFonts w:hint="eastAsia" w:cs="宋体" w:asciiTheme="minorEastAsia" w:hAnsiTheme="minorEastAsia"/>
          <w:bCs/>
          <w:szCs w:val="32"/>
          <w:bdr w:val="single" w:color="auto" w:sz="4" w:space="0"/>
        </w:rPr>
        <w:t>的区域。</w:t>
      </w:r>
    </w:p>
    <w:p w14:paraId="6AD379D1">
      <w:pPr>
        <w:ind w:firstLine="480" w:firstLineChars="200"/>
        <w:rPr>
          <w:rFonts w:cs="宋体" w:asciiTheme="minorEastAsia" w:hAnsiTheme="minorEastAsia"/>
          <w:bCs/>
          <w:u w:val="single"/>
        </w:rPr>
      </w:pPr>
      <w:r>
        <w:rPr>
          <w:rFonts w:hint="eastAsia" w:asciiTheme="minorEastAsia" w:hAnsiTheme="minorEastAsia"/>
          <w:bCs/>
          <w:u w:val="single"/>
        </w:rPr>
        <w:t>控制区一般包括使用非密封源核素的房间（放射性药物贮存室、分装及（或）药物准备室、给药室等）、扫描室、给药后候诊室、样品测量室、放射性废物储藏室、病房（使用非密封源治疗患者）、卫生通过间、保洁用品储存场所等。监督区一般包括控制室、员工休息室、更衣室、医务人员卫生间等。应根据</w:t>
      </w:r>
      <w:r>
        <w:rPr>
          <w:rFonts w:asciiTheme="minorEastAsia" w:hAnsiTheme="minorEastAsia"/>
          <w:bCs/>
          <w:u w:val="single"/>
        </w:rPr>
        <w:t>GB18871</w:t>
      </w:r>
      <w:r>
        <w:rPr>
          <w:rFonts w:hint="eastAsia" w:asciiTheme="minorEastAsia" w:hAnsiTheme="minorEastAsia"/>
          <w:bCs/>
          <w:u w:val="single"/>
        </w:rPr>
        <w:t>的有关规定，结合核医学科的具体情况，对控制区和监督区采取相应管理措施。</w:t>
      </w:r>
    </w:p>
    <w:p w14:paraId="4DF527CF">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5.12</w:t>
      </w:r>
      <w:r>
        <w:rPr>
          <w:rFonts w:cs="宋体" w:asciiTheme="minorEastAsia" w:hAnsiTheme="minorEastAsia"/>
          <w:b/>
          <w:sz w:val="28"/>
          <w:szCs w:val="30"/>
        </w:rPr>
        <w:t xml:space="preserve"> </w:t>
      </w:r>
      <w:r>
        <w:rPr>
          <w:rFonts w:hint="eastAsia" w:cs="宋体" w:asciiTheme="minorEastAsia" w:hAnsiTheme="minorEastAsia"/>
          <w:b/>
          <w:sz w:val="28"/>
          <w:szCs w:val="30"/>
        </w:rPr>
        <w:t>介入治疗用房</w:t>
      </w:r>
    </w:p>
    <w:p w14:paraId="510504CB">
      <w:pPr>
        <w:spacing w:before="312" w:beforeLines="100"/>
        <w:rPr>
          <w:rFonts w:cs="宋体" w:asciiTheme="minorEastAsia" w:hAnsiTheme="minorEastAsia"/>
          <w:bCs/>
          <w:sz w:val="22"/>
          <w:szCs w:val="22"/>
        </w:rPr>
      </w:pPr>
      <w:r>
        <w:rPr>
          <w:rFonts w:hint="eastAsia" w:cs="宋体" w:asciiTheme="minorEastAsia" w:hAnsiTheme="minorEastAsia"/>
          <w:bCs/>
          <w:szCs w:val="32"/>
          <w:u w:val="single"/>
        </w:rPr>
        <w:t>5.12.2</w:t>
      </w:r>
      <w:r>
        <w:rPr>
          <w:rFonts w:cs="宋体" w:asciiTheme="minorEastAsia" w:hAnsiTheme="minorEastAsia"/>
          <w:bCs/>
          <w:szCs w:val="32"/>
          <w:u w:val="single"/>
        </w:rPr>
        <w:t xml:space="preserve"> </w:t>
      </w:r>
      <w:r>
        <w:rPr>
          <w:rFonts w:hint="eastAsia" w:asciiTheme="minorEastAsia" w:hAnsiTheme="minorEastAsia"/>
          <w:bCs/>
          <w:u w:val="single"/>
        </w:rPr>
        <w:t>介入治疗部分环境类似于手术室，分为接待区、准备恢复区、导管区、医护工作区、污物处理。</w:t>
      </w:r>
    </w:p>
    <w:p w14:paraId="4895BC5B">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5.13</w:t>
      </w:r>
      <w:r>
        <w:rPr>
          <w:rFonts w:cs="宋体" w:asciiTheme="minorEastAsia" w:hAnsiTheme="minorEastAsia"/>
          <w:b/>
          <w:sz w:val="28"/>
          <w:szCs w:val="30"/>
        </w:rPr>
        <w:t xml:space="preserve"> </w:t>
      </w:r>
      <w:r>
        <w:rPr>
          <w:rFonts w:hint="eastAsia" w:cs="宋体" w:asciiTheme="minorEastAsia" w:hAnsiTheme="minorEastAsia"/>
          <w:b/>
          <w:sz w:val="28"/>
          <w:szCs w:val="30"/>
        </w:rPr>
        <w:t>检验科用房</w:t>
      </w:r>
    </w:p>
    <w:p w14:paraId="3367DC61">
      <w:pPr>
        <w:spacing w:before="312" w:beforeLines="100"/>
        <w:rPr>
          <w:rFonts w:cs="宋体" w:asciiTheme="minorEastAsia" w:hAnsiTheme="minorEastAsia"/>
          <w:bCs/>
        </w:rPr>
      </w:pPr>
      <w:r>
        <w:rPr>
          <w:rFonts w:cs="宋体" w:asciiTheme="minorEastAsia" w:hAnsiTheme="minorEastAsia"/>
          <w:bCs/>
        </w:rPr>
        <w:t>5</w:t>
      </w:r>
      <w:bookmarkStart w:id="71" w:name="OLE_LINK3"/>
      <w:bookmarkStart w:id="72" w:name="OLE_LINK4"/>
      <w:r>
        <w:rPr>
          <w:rFonts w:cs="宋体" w:asciiTheme="minorEastAsia" w:hAnsiTheme="minorEastAsia"/>
          <w:bCs/>
        </w:rPr>
        <w:t>.</w:t>
      </w:r>
      <w:bookmarkEnd w:id="71"/>
      <w:bookmarkEnd w:id="72"/>
      <w:r>
        <w:rPr>
          <w:rFonts w:cs="宋体" w:asciiTheme="minorEastAsia" w:hAnsiTheme="minorEastAsia"/>
          <w:bCs/>
        </w:rPr>
        <w:t xml:space="preserve">13.1 </w:t>
      </w:r>
      <w:r>
        <w:rPr>
          <w:rFonts w:hint="eastAsia" w:cs="宋体" w:asciiTheme="minorEastAsia" w:hAnsiTheme="minorEastAsia"/>
          <w:bCs/>
        </w:rPr>
        <w:t>检验部门的标本多为血、尿、便等物品或病变组织，属带菌物质，因此检验部门应自成独立区域，不允许与其他科室交叉，以保证安全。</w:t>
      </w:r>
      <w:r>
        <w:rPr>
          <w:rFonts w:hint="eastAsia" w:cs="宋体" w:asciiTheme="minorEastAsia" w:hAnsiTheme="minorEastAsia"/>
          <w:bCs/>
          <w:u w:val="single"/>
        </w:rPr>
        <w:t>微生物实验室、PCR实验室等生物安全等级要求更高的房间，建议组合布置，便于人流、气流组织。</w:t>
      </w:r>
    </w:p>
    <w:p w14:paraId="327E4F9A">
      <w:pPr>
        <w:spacing w:before="312" w:beforeLines="100"/>
        <w:rPr>
          <w:rFonts w:cs="宋体" w:asciiTheme="minorEastAsia" w:hAnsiTheme="minorEastAsia"/>
          <w:bCs/>
          <w:szCs w:val="32"/>
          <w:bdr w:val="single" w:color="auto" w:sz="4" w:space="0"/>
        </w:rPr>
      </w:pPr>
      <w:r>
        <w:rPr>
          <w:rFonts w:hint="eastAsia" w:asciiTheme="minorEastAsia" w:hAnsiTheme="minorEastAsia"/>
          <w:bCs/>
        </w:rPr>
        <w:t>5</w:t>
      </w:r>
      <w:r>
        <w:rPr>
          <w:rFonts w:cs="宋体" w:asciiTheme="minorEastAsia" w:hAnsiTheme="minorEastAsia"/>
          <w:bCs/>
        </w:rPr>
        <w:t>.</w:t>
      </w:r>
      <w:r>
        <w:rPr>
          <w:rFonts w:hint="eastAsia" w:asciiTheme="minorEastAsia" w:hAnsiTheme="minorEastAsia"/>
          <w:bCs/>
        </w:rPr>
        <w:t>13</w:t>
      </w:r>
      <w:r>
        <w:rPr>
          <w:rFonts w:asciiTheme="minorEastAsia" w:hAnsiTheme="minorEastAsia"/>
          <w:bCs/>
        </w:rPr>
        <w:t>.</w:t>
      </w:r>
      <w:r>
        <w:rPr>
          <w:rFonts w:hint="eastAsia" w:asciiTheme="minorEastAsia" w:hAnsiTheme="minorEastAsia"/>
          <w:bCs/>
        </w:rPr>
        <w:t>2</w:t>
      </w:r>
      <w:r>
        <w:rPr>
          <w:rFonts w:asciiTheme="minorEastAsia" w:hAnsiTheme="minorEastAsia"/>
          <w:bCs/>
        </w:rPr>
        <w:t xml:space="preserve"> </w:t>
      </w:r>
      <w:r>
        <w:rPr>
          <w:rFonts w:hint="eastAsia" w:asciiTheme="minorEastAsia" w:hAnsiTheme="minorEastAsia"/>
          <w:bCs/>
        </w:rPr>
        <w:t>检验科</w:t>
      </w:r>
      <w:r>
        <w:rPr>
          <w:rFonts w:asciiTheme="minorEastAsia" w:hAnsiTheme="minorEastAsia"/>
          <w:bCs/>
        </w:rPr>
        <w:t>的工作流程见图</w:t>
      </w:r>
      <w:r>
        <w:rPr>
          <w:rFonts w:hint="eastAsia" w:asciiTheme="minorEastAsia" w:hAnsiTheme="minorEastAsia"/>
          <w:bCs/>
        </w:rPr>
        <w:t>1。</w:t>
      </w:r>
      <w:r>
        <w:rPr>
          <w:rFonts w:asciiTheme="minorEastAsia" w:hAnsiTheme="minorEastAsia"/>
          <w:bCs/>
        </w:rPr>
        <w:t>对照</w:t>
      </w:r>
      <w:r>
        <w:rPr>
          <w:rFonts w:hint="eastAsia" w:asciiTheme="minorEastAsia" w:hAnsiTheme="minorEastAsia"/>
          <w:bCs/>
        </w:rPr>
        <w:t>其</w:t>
      </w:r>
      <w:r>
        <w:rPr>
          <w:rFonts w:asciiTheme="minorEastAsia" w:hAnsiTheme="minorEastAsia"/>
          <w:bCs/>
        </w:rPr>
        <w:t>程序</w:t>
      </w:r>
      <w:r>
        <w:rPr>
          <w:rFonts w:hint="eastAsia" w:asciiTheme="minorEastAsia" w:hAnsiTheme="minorEastAsia"/>
          <w:bCs/>
        </w:rPr>
        <w:t>相应配备</w:t>
      </w:r>
      <w:r>
        <w:rPr>
          <w:rFonts w:asciiTheme="minorEastAsia" w:hAnsiTheme="minorEastAsia"/>
          <w:bCs/>
        </w:rPr>
        <w:t>房间</w:t>
      </w:r>
      <w:r>
        <w:rPr>
          <w:rFonts w:hint="eastAsia" w:cs="宋体" w:asciiTheme="minorEastAsia" w:hAnsiTheme="minorEastAsia"/>
          <w:bCs/>
          <w:szCs w:val="32"/>
          <w:bdr w:val="single" w:color="auto" w:sz="4" w:space="0"/>
        </w:rPr>
        <w:t>，其中微生物细菌检验室由于其工作性质，应在检验科的相对尽端布置</w:t>
      </w:r>
      <w:r>
        <w:rPr>
          <w:rFonts w:hint="eastAsia" w:asciiTheme="minorEastAsia" w:hAnsiTheme="minorEastAsia"/>
          <w:bCs/>
        </w:rPr>
        <w:t>。</w:t>
      </w:r>
    </w:p>
    <w:p w14:paraId="32C0A309">
      <w:pPr>
        <w:ind w:firstLine="480" w:firstLineChars="200"/>
        <w:rPr>
          <w:rFonts w:cs="宋体" w:asciiTheme="minorEastAsia" w:hAnsiTheme="minorEastAsia"/>
          <w:bCs/>
        </w:rPr>
      </w:pPr>
      <w:r>
        <w:rPr>
          <w:rFonts w:hint="eastAsia" w:cs="宋体" w:asciiTheme="minorEastAsia" w:hAnsiTheme="minorEastAsia"/>
          <w:bCs/>
          <w:szCs w:val="32"/>
          <w:u w:val="single"/>
        </w:rPr>
        <w:t>PCR实验室又称</w:t>
      </w:r>
      <w:r>
        <w:rPr>
          <w:rFonts w:cs="宋体" w:asciiTheme="minorEastAsia" w:hAnsiTheme="minorEastAsia"/>
          <w:bCs/>
          <w:szCs w:val="32"/>
          <w:u w:val="single"/>
        </w:rPr>
        <w:t>基因扩增</w:t>
      </w:r>
      <w:r>
        <w:rPr>
          <w:rFonts w:hint="eastAsia" w:cs="宋体" w:asciiTheme="minorEastAsia" w:hAnsiTheme="minorEastAsia"/>
          <w:bCs/>
          <w:szCs w:val="32"/>
          <w:u w:val="single"/>
        </w:rPr>
        <w:t>实验室</w:t>
      </w:r>
      <w:r>
        <w:rPr>
          <w:rFonts w:cs="宋体" w:asciiTheme="minorEastAsia" w:hAnsiTheme="minorEastAsia"/>
          <w:bCs/>
          <w:szCs w:val="32"/>
          <w:u w:val="single"/>
        </w:rPr>
        <w:t>，布局</w:t>
      </w:r>
      <w:r>
        <w:rPr>
          <w:rFonts w:hint="eastAsia" w:cs="宋体" w:asciiTheme="minorEastAsia" w:hAnsiTheme="minorEastAsia"/>
          <w:bCs/>
          <w:szCs w:val="32"/>
          <w:u w:val="single"/>
        </w:rPr>
        <w:t>分为试剂准备区、标品制备区、扩增区、产物分析区4个</w:t>
      </w:r>
      <w:r>
        <w:rPr>
          <w:rFonts w:cs="宋体" w:asciiTheme="minorEastAsia" w:hAnsiTheme="minorEastAsia"/>
          <w:bCs/>
          <w:szCs w:val="32"/>
          <w:u w:val="single"/>
        </w:rPr>
        <w:t>独立的工作区域，内设专用走廊，各工作</w:t>
      </w:r>
      <w:r>
        <w:rPr>
          <w:rFonts w:hint="eastAsia" w:cs="宋体" w:asciiTheme="minorEastAsia" w:hAnsiTheme="minorEastAsia"/>
          <w:bCs/>
          <w:szCs w:val="32"/>
          <w:u w:val="single"/>
        </w:rPr>
        <w:t>区域</w:t>
      </w:r>
      <w:r>
        <w:rPr>
          <w:rFonts w:cs="宋体" w:asciiTheme="minorEastAsia" w:hAnsiTheme="minorEastAsia"/>
          <w:bCs/>
          <w:szCs w:val="32"/>
          <w:u w:val="single"/>
        </w:rPr>
        <w:t>应设置缓冲间。</w:t>
      </w:r>
    </w:p>
    <w:p w14:paraId="233B4CD0">
      <w:pPr>
        <w:spacing w:line="240" w:lineRule="auto"/>
        <w:jc w:val="center"/>
        <w:rPr>
          <w:rFonts w:asciiTheme="minorEastAsia" w:hAnsiTheme="minorEastAsia"/>
          <w:sz w:val="21"/>
          <w:szCs w:val="22"/>
        </w:rPr>
      </w:pPr>
      <w:r>
        <w:rPr>
          <w:rFonts w:asciiTheme="minorEastAsia" w:hAnsiTheme="minorEastAsia"/>
          <w:sz w:val="21"/>
          <w:szCs w:val="22"/>
        </w:rPr>
        <w:drawing>
          <wp:inline distT="0" distB="0" distL="0" distR="0">
            <wp:extent cx="5238750" cy="298450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8750" cy="2984500"/>
                    </a:xfrm>
                    <a:prstGeom prst="rect">
                      <a:avLst/>
                    </a:prstGeom>
                    <a:noFill/>
                    <a:ln>
                      <a:noFill/>
                    </a:ln>
                  </pic:spPr>
                </pic:pic>
              </a:graphicData>
            </a:graphic>
          </wp:inline>
        </w:drawing>
      </w:r>
    </w:p>
    <w:p w14:paraId="34FE9869">
      <w:pPr>
        <w:spacing w:after="156" w:afterLines="50"/>
        <w:jc w:val="center"/>
        <w:rPr>
          <w:rFonts w:asciiTheme="minorEastAsia" w:hAnsiTheme="minorEastAsia"/>
          <w:bCs/>
        </w:rPr>
      </w:pPr>
      <w:r>
        <w:rPr>
          <w:rFonts w:hint="eastAsia" w:cs="宋体" w:asciiTheme="minorEastAsia" w:hAnsiTheme="minorEastAsia"/>
          <w:b/>
          <w:bCs/>
          <w:sz w:val="22"/>
        </w:rPr>
        <w:t>图</w:t>
      </w:r>
      <w:r>
        <w:rPr>
          <w:rFonts w:cs="宋体" w:asciiTheme="minorEastAsia" w:hAnsiTheme="minorEastAsia"/>
          <w:b/>
          <w:bCs/>
          <w:sz w:val="22"/>
        </w:rPr>
        <w:t xml:space="preserve">1 </w:t>
      </w:r>
      <w:r>
        <w:rPr>
          <w:rFonts w:hint="eastAsia" w:cs="宋体" w:asciiTheme="minorEastAsia" w:hAnsiTheme="minorEastAsia"/>
          <w:b/>
          <w:bCs/>
          <w:sz w:val="22"/>
        </w:rPr>
        <w:t>检验科的工作流程</w:t>
      </w:r>
    </w:p>
    <w:p w14:paraId="2629CD9C">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5.14</w:t>
      </w:r>
      <w:r>
        <w:rPr>
          <w:rFonts w:cs="宋体" w:asciiTheme="minorEastAsia" w:hAnsiTheme="minorEastAsia"/>
          <w:b/>
          <w:sz w:val="28"/>
          <w:szCs w:val="30"/>
        </w:rPr>
        <w:t xml:space="preserve"> </w:t>
      </w:r>
      <w:r>
        <w:rPr>
          <w:rFonts w:hint="eastAsia" w:cs="宋体" w:asciiTheme="minorEastAsia" w:hAnsiTheme="minorEastAsia"/>
          <w:b/>
          <w:sz w:val="28"/>
          <w:szCs w:val="30"/>
        </w:rPr>
        <w:t>病理科用房</w:t>
      </w:r>
    </w:p>
    <w:p w14:paraId="2CC1AEDE">
      <w:pPr>
        <w:spacing w:before="312" w:beforeLines="100"/>
        <w:rPr>
          <w:rFonts w:cs="宋体" w:asciiTheme="minorEastAsia" w:hAnsiTheme="minorEastAsia"/>
          <w:bCs/>
        </w:rPr>
      </w:pPr>
      <w:r>
        <w:rPr>
          <w:rFonts w:cs="宋体" w:asciiTheme="minorEastAsia" w:hAnsiTheme="minorEastAsia"/>
          <w:bCs/>
        </w:rPr>
        <w:t>5.14.1</w:t>
      </w:r>
      <w:r>
        <w:rPr>
          <w:rFonts w:hint="eastAsia" w:cs="宋体" w:asciiTheme="minorEastAsia" w:hAnsiTheme="minorEastAsia"/>
          <w:bCs/>
        </w:rPr>
        <w:t>、</w:t>
      </w:r>
      <w:r>
        <w:rPr>
          <w:rFonts w:cs="宋体" w:asciiTheme="minorEastAsia" w:hAnsiTheme="minorEastAsia"/>
          <w:bCs/>
        </w:rPr>
        <w:t xml:space="preserve">5.14.2 </w:t>
      </w:r>
      <w:r>
        <w:rPr>
          <w:rFonts w:hint="eastAsia" w:cs="宋体" w:asciiTheme="minorEastAsia" w:hAnsiTheme="minorEastAsia"/>
          <w:bCs/>
        </w:rPr>
        <w:t>病理科功能关系见图</w:t>
      </w:r>
      <w:r>
        <w:rPr>
          <w:rFonts w:cs="宋体" w:asciiTheme="minorEastAsia" w:hAnsiTheme="minorEastAsia"/>
          <w:bCs/>
        </w:rPr>
        <w:t>2</w:t>
      </w:r>
      <w:r>
        <w:rPr>
          <w:rFonts w:hint="eastAsia" w:cs="宋体" w:asciiTheme="minorEastAsia" w:hAnsiTheme="minorEastAsia"/>
          <w:bCs/>
        </w:rPr>
        <w:t>。</w:t>
      </w:r>
    </w:p>
    <w:p w14:paraId="1D5E4248">
      <w:pPr>
        <w:spacing w:line="240" w:lineRule="auto"/>
        <w:jc w:val="center"/>
        <w:rPr>
          <w:rFonts w:asciiTheme="minorEastAsia" w:hAnsiTheme="minorEastAsia"/>
          <w:sz w:val="21"/>
          <w:szCs w:val="22"/>
        </w:rPr>
      </w:pPr>
      <w:r>
        <w:rPr>
          <w:rFonts w:asciiTheme="minorEastAsia" w:hAnsiTheme="minorEastAsia"/>
          <w:sz w:val="21"/>
          <w:szCs w:val="22"/>
        </w:rPr>
        <w:drawing>
          <wp:inline distT="0" distB="0" distL="0" distR="0">
            <wp:extent cx="4762500" cy="23558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62500" cy="2355850"/>
                    </a:xfrm>
                    <a:prstGeom prst="rect">
                      <a:avLst/>
                    </a:prstGeom>
                    <a:noFill/>
                    <a:ln>
                      <a:noFill/>
                    </a:ln>
                  </pic:spPr>
                </pic:pic>
              </a:graphicData>
            </a:graphic>
          </wp:inline>
        </w:drawing>
      </w:r>
    </w:p>
    <w:p w14:paraId="44219082">
      <w:pPr>
        <w:spacing w:after="156" w:afterLines="50"/>
        <w:jc w:val="center"/>
        <w:rPr>
          <w:rFonts w:asciiTheme="minorEastAsia" w:hAnsiTheme="minorEastAsia"/>
          <w:bCs/>
        </w:rPr>
      </w:pPr>
      <w:r>
        <w:rPr>
          <w:rFonts w:hint="eastAsia" w:cs="宋体" w:asciiTheme="minorEastAsia" w:hAnsiTheme="minorEastAsia"/>
          <w:b/>
          <w:bCs/>
          <w:sz w:val="22"/>
        </w:rPr>
        <w:t>图</w:t>
      </w:r>
      <w:r>
        <w:rPr>
          <w:rFonts w:cs="宋体" w:asciiTheme="minorEastAsia" w:hAnsiTheme="minorEastAsia"/>
          <w:b/>
          <w:bCs/>
          <w:sz w:val="22"/>
        </w:rPr>
        <w:t xml:space="preserve">2 </w:t>
      </w:r>
      <w:r>
        <w:rPr>
          <w:rFonts w:hint="eastAsia" w:cs="宋体" w:asciiTheme="minorEastAsia" w:hAnsiTheme="minorEastAsia"/>
          <w:b/>
          <w:bCs/>
          <w:sz w:val="22"/>
        </w:rPr>
        <w:t>病理科功能关系</w:t>
      </w:r>
    </w:p>
    <w:p w14:paraId="56B1A896">
      <w:pPr>
        <w:ind w:firstLine="480" w:firstLineChars="200"/>
        <w:rPr>
          <w:rFonts w:asciiTheme="minorEastAsia" w:hAnsiTheme="minorEastAsia"/>
          <w:bCs/>
        </w:rPr>
      </w:pPr>
      <w:r>
        <w:rPr>
          <w:rFonts w:hint="eastAsia" w:cs="宋体" w:asciiTheme="minorEastAsia" w:hAnsiTheme="minorEastAsia"/>
          <w:bCs/>
          <w:szCs w:val="32"/>
        </w:rPr>
        <w:t>病理检验中的冰冻切片检查多用于手术进行中，要求30min完成制片与诊断，以便确定下一</w:t>
      </w:r>
      <w:r>
        <w:rPr>
          <w:rFonts w:hint="eastAsia" w:cs="宋体" w:asciiTheme="minorEastAsia" w:hAnsiTheme="minorEastAsia"/>
          <w:bCs/>
          <w:szCs w:val="32"/>
          <w:bdr w:val="single" w:color="auto" w:sz="0" w:space="0"/>
        </w:rPr>
        <w:t>部</w:t>
      </w:r>
      <w:r>
        <w:rPr>
          <w:rFonts w:hint="eastAsia" w:cs="宋体" w:asciiTheme="minorEastAsia" w:hAnsiTheme="minorEastAsia"/>
          <w:bCs/>
          <w:szCs w:val="32"/>
          <w:u w:val="single"/>
        </w:rPr>
        <w:t>步</w:t>
      </w:r>
      <w:r>
        <w:rPr>
          <w:rFonts w:hint="eastAsia" w:cs="宋体" w:asciiTheme="minorEastAsia" w:hAnsiTheme="minorEastAsia"/>
          <w:bCs/>
          <w:szCs w:val="32"/>
        </w:rPr>
        <w:t>手术方案。因此，病理科应靠近手术部设置</w:t>
      </w:r>
      <w:r>
        <w:rPr>
          <w:rFonts w:hint="eastAsia" w:cs="宋体" w:asciiTheme="minorEastAsia" w:hAnsiTheme="minorEastAsia"/>
          <w:bCs/>
          <w:szCs w:val="32"/>
          <w:u w:val="single"/>
        </w:rPr>
        <w:t>，</w:t>
      </w:r>
      <w:r>
        <w:rPr>
          <w:rFonts w:hint="eastAsia" w:cs="宋体" w:asciiTheme="minorEastAsia" w:hAnsiTheme="minorEastAsia"/>
          <w:bCs/>
          <w:szCs w:val="32"/>
          <w:bdr w:val="single" w:color="auto" w:sz="4" w:space="0"/>
        </w:rPr>
        <w:t>。</w:t>
      </w:r>
      <w:r>
        <w:rPr>
          <w:rFonts w:hint="eastAsia" w:cs="宋体" w:asciiTheme="minorEastAsia" w:hAnsiTheme="minorEastAsia"/>
          <w:bCs/>
          <w:szCs w:val="32"/>
          <w:u w:val="single"/>
        </w:rPr>
        <w:t>并同时兼顾病房与门诊的标本接受。</w:t>
      </w:r>
    </w:p>
    <w:p w14:paraId="789D68C4">
      <w:pPr>
        <w:spacing w:before="312" w:beforeLines="100"/>
        <w:rPr>
          <w:rFonts w:cs="宋体" w:asciiTheme="minorEastAsia" w:hAnsiTheme="minorEastAsia"/>
          <w:bCs/>
          <w:sz w:val="22"/>
          <w:szCs w:val="22"/>
        </w:rPr>
      </w:pPr>
      <w:r>
        <w:rPr>
          <w:rFonts w:hint="eastAsia" w:cs="宋体" w:asciiTheme="minorEastAsia" w:hAnsiTheme="minorEastAsia"/>
          <w:bCs/>
          <w:szCs w:val="32"/>
          <w:u w:val="single"/>
        </w:rPr>
        <w:t>5.14.3</w:t>
      </w:r>
      <w:r>
        <w:rPr>
          <w:rFonts w:cs="宋体" w:asciiTheme="minorEastAsia" w:hAnsiTheme="minorEastAsia"/>
          <w:bCs/>
          <w:szCs w:val="32"/>
          <w:u w:val="single"/>
        </w:rPr>
        <w:t xml:space="preserve"> </w:t>
      </w:r>
      <w:r>
        <w:rPr>
          <w:rFonts w:hint="eastAsia" w:cs="宋体" w:asciiTheme="minorEastAsia" w:hAnsiTheme="minorEastAsia"/>
          <w:bCs/>
          <w:szCs w:val="32"/>
          <w:u w:val="single"/>
        </w:rPr>
        <w:t>病理科用房由工作区、医护区、污物处理区组成，室内地面应采用易清洁、耐腐蚀材料。</w:t>
      </w:r>
    </w:p>
    <w:p w14:paraId="49C92515">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5.16</w:t>
      </w:r>
      <w:r>
        <w:rPr>
          <w:rFonts w:cs="宋体" w:asciiTheme="minorEastAsia" w:hAnsiTheme="minorEastAsia"/>
          <w:b/>
          <w:sz w:val="28"/>
          <w:szCs w:val="30"/>
        </w:rPr>
        <w:t xml:space="preserve"> </w:t>
      </w:r>
      <w:r>
        <w:rPr>
          <w:rFonts w:hint="eastAsia" w:cs="宋体" w:asciiTheme="minorEastAsia" w:hAnsiTheme="minorEastAsia"/>
          <w:b/>
          <w:sz w:val="28"/>
          <w:szCs w:val="30"/>
        </w:rPr>
        <w:t>内</w:t>
      </w:r>
      <w:r>
        <w:rPr>
          <w:rFonts w:hint="eastAsia" w:cs="宋体" w:asciiTheme="minorEastAsia" w:hAnsiTheme="minorEastAsia"/>
          <w:b/>
          <w:bCs/>
          <w:sz w:val="28"/>
          <w:szCs w:val="32"/>
          <w:bdr w:val="single" w:color="auto" w:sz="0" w:space="0"/>
        </w:rPr>
        <w:t>窥</w:t>
      </w:r>
      <w:r>
        <w:rPr>
          <w:rFonts w:hint="eastAsia" w:cs="宋体" w:asciiTheme="minorEastAsia" w:hAnsiTheme="minorEastAsia"/>
          <w:b/>
          <w:sz w:val="28"/>
          <w:szCs w:val="30"/>
        </w:rPr>
        <w:t>镜科用房</w:t>
      </w:r>
    </w:p>
    <w:p w14:paraId="44A07676">
      <w:pPr>
        <w:spacing w:before="312" w:beforeLines="100"/>
        <w:rPr>
          <w:rFonts w:cs="宋体" w:asciiTheme="minorEastAsia" w:hAnsiTheme="minorEastAsia"/>
          <w:bCs/>
        </w:rPr>
      </w:pPr>
      <w:r>
        <w:rPr>
          <w:rFonts w:cs="宋体" w:asciiTheme="minorEastAsia" w:hAnsiTheme="minorEastAsia"/>
          <w:bCs/>
        </w:rPr>
        <w:t>5.16.1</w:t>
      </w:r>
      <w:r>
        <w:rPr>
          <w:rFonts w:hint="eastAsia" w:cs="宋体" w:asciiTheme="minorEastAsia" w:hAnsiTheme="minorEastAsia"/>
          <w:bCs/>
        </w:rPr>
        <w:t>～</w:t>
      </w:r>
      <w:r>
        <w:rPr>
          <w:rFonts w:cs="宋体" w:asciiTheme="minorEastAsia" w:hAnsiTheme="minorEastAsia"/>
          <w:bCs/>
        </w:rPr>
        <w:t xml:space="preserve">5.16.3 </w:t>
      </w:r>
      <w:r>
        <w:rPr>
          <w:rFonts w:hint="eastAsia" w:cs="宋体" w:asciiTheme="minorEastAsia" w:hAnsiTheme="minorEastAsia"/>
          <w:bCs/>
        </w:rPr>
        <w:t>内</w:t>
      </w:r>
      <w:r>
        <w:rPr>
          <w:rFonts w:hint="eastAsia" w:cs="宋体" w:asciiTheme="minorEastAsia" w:hAnsiTheme="minorEastAsia"/>
          <w:bCs/>
          <w:szCs w:val="32"/>
          <w:bdr w:val="single" w:color="auto" w:sz="0" w:space="0"/>
        </w:rPr>
        <w:t>窥</w:t>
      </w:r>
      <w:r>
        <w:rPr>
          <w:rFonts w:hint="eastAsia" w:cs="宋体" w:asciiTheme="minorEastAsia" w:hAnsiTheme="minorEastAsia"/>
          <w:bCs/>
        </w:rPr>
        <w:t>镜检查室各检查项目差别比较大，分别设置比较合理。</w:t>
      </w:r>
    </w:p>
    <w:p w14:paraId="5AED72EB">
      <w:pPr>
        <w:ind w:firstLine="480" w:firstLineChars="200"/>
        <w:rPr>
          <w:rFonts w:asciiTheme="minorEastAsia" w:hAnsiTheme="minorEastAsia"/>
          <w:bCs/>
        </w:rPr>
      </w:pPr>
      <w:r>
        <w:rPr>
          <w:rFonts w:hint="eastAsia" w:cs="宋体" w:asciiTheme="minorEastAsia" w:hAnsiTheme="minorEastAsia"/>
          <w:bCs/>
        </w:rPr>
        <w:t>随着纤维镜检技术的发展，有些内镜不但用于诊断，且用于介入治疗，如支气管镜、胆道镜、输卵管镜、腹腔镜等，这种兼有手术功能的检查室兼有手术室性质，应具有手术室中相应的设置和配置。</w:t>
      </w:r>
    </w:p>
    <w:p w14:paraId="625E8A58">
      <w:pPr>
        <w:spacing w:before="312" w:beforeLines="100" w:after="156" w:afterLines="50"/>
        <w:jc w:val="center"/>
        <w:outlineLvl w:val="2"/>
        <w:rPr>
          <w:rFonts w:cs="宋体" w:asciiTheme="minorEastAsia" w:hAnsiTheme="minorEastAsia"/>
          <w:b/>
          <w:sz w:val="28"/>
          <w:szCs w:val="30"/>
        </w:rPr>
      </w:pPr>
      <w:r>
        <w:rPr>
          <w:rFonts w:hint="eastAsia" w:cs="宋体" w:asciiTheme="minorEastAsia" w:hAnsiTheme="minorEastAsia"/>
          <w:b/>
          <w:sz w:val="28"/>
          <w:szCs w:val="30"/>
        </w:rPr>
        <w:t>5.19</w:t>
      </w:r>
      <w:r>
        <w:rPr>
          <w:rFonts w:cs="宋体" w:asciiTheme="minorEastAsia" w:hAnsiTheme="minorEastAsia"/>
          <w:b/>
          <w:sz w:val="28"/>
          <w:szCs w:val="30"/>
        </w:rPr>
        <w:t xml:space="preserve"> </w:t>
      </w:r>
      <w:r>
        <w:rPr>
          <w:rFonts w:hint="eastAsia" w:cs="宋体" w:asciiTheme="minorEastAsia" w:hAnsiTheme="minorEastAsia"/>
          <w:b/>
          <w:sz w:val="28"/>
          <w:szCs w:val="30"/>
        </w:rPr>
        <w:t>药剂科用房</w:t>
      </w:r>
    </w:p>
    <w:p w14:paraId="5FEE3E2A">
      <w:pPr>
        <w:spacing w:before="312" w:beforeLines="100"/>
        <w:rPr>
          <w:rFonts w:cs="宋体" w:asciiTheme="minorEastAsia" w:hAnsiTheme="minorEastAsia"/>
          <w:bCs/>
          <w:szCs w:val="32"/>
          <w:u w:val="single"/>
        </w:rPr>
      </w:pPr>
      <w:r>
        <w:rPr>
          <w:rFonts w:hint="eastAsia" w:cs="宋体" w:asciiTheme="minorEastAsia" w:hAnsiTheme="minorEastAsia"/>
          <w:bCs/>
          <w:szCs w:val="32"/>
          <w:u w:val="single"/>
        </w:rPr>
        <w:t>5</w:t>
      </w:r>
      <w:r>
        <w:rPr>
          <w:rFonts w:cs="宋体" w:asciiTheme="minorEastAsia" w:hAnsiTheme="minorEastAsia"/>
          <w:bCs/>
          <w:szCs w:val="32"/>
          <w:u w:val="single"/>
        </w:rPr>
        <w:t>.</w:t>
      </w:r>
      <w:r>
        <w:rPr>
          <w:rFonts w:hint="eastAsia" w:cs="宋体" w:asciiTheme="minorEastAsia" w:hAnsiTheme="minorEastAsia"/>
          <w:bCs/>
          <w:szCs w:val="32"/>
          <w:u w:val="single"/>
        </w:rPr>
        <w:t>19.4</w:t>
      </w:r>
      <w:r>
        <w:rPr>
          <w:rFonts w:cs="宋体" w:asciiTheme="minorEastAsia" w:hAnsiTheme="minorEastAsia"/>
          <w:bCs/>
          <w:szCs w:val="32"/>
          <w:u w:val="single"/>
        </w:rPr>
        <w:t xml:space="preserve">A </w:t>
      </w:r>
      <w:r>
        <w:rPr>
          <w:rFonts w:hint="eastAsia" w:cs="宋体" w:asciiTheme="minorEastAsia" w:hAnsiTheme="minorEastAsia"/>
          <w:bCs/>
          <w:szCs w:val="32"/>
          <w:u w:val="single"/>
        </w:rPr>
        <w:t>为保证静脉用药安全，避免污染源对药物调配的影响，静脉配置中心应设置在人员流动较少的区域，远离各种污染源，同时便于成品药物的运送。</w:t>
      </w:r>
    </w:p>
    <w:p w14:paraId="51D3B62F">
      <w:pPr>
        <w:ind w:firstLine="480" w:firstLineChars="200"/>
        <w:rPr>
          <w:rFonts w:cs="宋体" w:asciiTheme="minorEastAsia" w:hAnsiTheme="minorEastAsia"/>
          <w:bCs/>
          <w:highlight w:val="green"/>
        </w:rPr>
      </w:pPr>
      <w:r>
        <w:rPr>
          <w:rFonts w:hint="eastAsia" w:cs="宋体" w:asciiTheme="minorEastAsia" w:hAnsiTheme="minorEastAsia"/>
          <w:bCs/>
          <w:szCs w:val="32"/>
          <w:u w:val="single"/>
        </w:rPr>
        <w:t>静脉配置中心分区需根据区域功能与净化等级进行划分，保证洁净区、辅助工作区和生活区之间的人流、物流、出入口走向合理，不同洁净等级区域应有防止交叉污染的设施。</w:t>
      </w:r>
    </w:p>
    <w:p w14:paraId="7880978F">
      <w:pPr>
        <w:spacing w:before="312" w:beforeLines="100" w:after="156" w:afterLines="50"/>
        <w:jc w:val="center"/>
        <w:outlineLvl w:val="2"/>
        <w:rPr>
          <w:rFonts w:ascii="宋体" w:hAnsi="宋体" w:eastAsia="宋体" w:cs="宋体"/>
          <w:b/>
          <w:sz w:val="28"/>
          <w:szCs w:val="30"/>
        </w:rPr>
      </w:pPr>
      <w:r>
        <w:rPr>
          <w:rFonts w:hint="eastAsia" w:ascii="宋体" w:hAnsi="宋体" w:eastAsia="宋体" w:cs="宋体"/>
          <w:b/>
          <w:sz w:val="28"/>
          <w:szCs w:val="30"/>
        </w:rPr>
        <w:t>5.24</w:t>
      </w:r>
      <w:r>
        <w:rPr>
          <w:rFonts w:ascii="宋体" w:hAnsi="宋体" w:eastAsia="宋体" w:cs="宋体"/>
          <w:b/>
          <w:sz w:val="28"/>
          <w:szCs w:val="30"/>
        </w:rPr>
        <w:t xml:space="preserve"> </w:t>
      </w:r>
      <w:r>
        <w:rPr>
          <w:rFonts w:hint="eastAsia" w:ascii="宋体" w:hAnsi="宋体" w:eastAsia="宋体" w:cs="宋体"/>
          <w:b/>
          <w:sz w:val="28"/>
          <w:szCs w:val="30"/>
        </w:rPr>
        <w:t>防火与疏散</w:t>
      </w:r>
    </w:p>
    <w:p w14:paraId="78434819">
      <w:pPr>
        <w:spacing w:before="312" w:beforeLines="100"/>
        <w:rPr>
          <w:rFonts w:cs="宋体" w:asciiTheme="minorEastAsia" w:hAnsiTheme="minorEastAsia"/>
          <w:bdr w:val="single" w:color="auto" w:sz="4" w:space="0"/>
        </w:rPr>
      </w:pPr>
      <w:r>
        <w:rPr>
          <w:rFonts w:hint="eastAsia" w:cs="宋体" w:asciiTheme="minorEastAsia" w:hAnsiTheme="minorEastAsia"/>
          <w:bdr w:val="single" w:color="auto" w:sz="4" w:space="0"/>
        </w:rPr>
        <w:t>5.24.2 现代医院越来越考虑医院的人性化设计，如在病人集中的门诊区域，有为方便病人就诊而设的联系各功能部门的“医疗街”，以及各种为病人服务的银行、花店、便利店、医疗咨询等公共设施，因此，门诊区域需要大空间。增设本款关于高层建筑内门诊大厅防火分区的规定，是希望本规定既能达到限制火势蔓延，减少损失的目的，又能顾及便于平时使用管理，以节省投资。</w:t>
      </w:r>
    </w:p>
    <w:p w14:paraId="4831F0BA">
      <w:pPr>
        <w:ind w:firstLine="480" w:firstLineChars="200"/>
        <w:rPr>
          <w:rFonts w:cs="宋体" w:asciiTheme="minorEastAsia" w:hAnsiTheme="minorEastAsia"/>
          <w:bCs/>
        </w:rPr>
      </w:pPr>
      <w:r>
        <w:rPr>
          <w:rFonts w:hint="eastAsia" w:cs="宋体" w:asciiTheme="minorEastAsia" w:hAnsiTheme="minorEastAsia"/>
          <w:bdr w:val="single" w:color="auto" w:sz="4" w:space="0"/>
        </w:rPr>
        <w:t>第4款，与第3款有类似之处，大型现代综合医院内时有设置大型手术部的需要。由于大型手术部对空间的功能分区、流线组织有特殊的、严格的要求，而手术部内人员较少，管理严格，并采取了相应的消防措施。增设本款关于医院建筑内手术部防火分区的规定，可以满足大型手术部的功能要求。</w:t>
      </w:r>
    </w:p>
    <w:p w14:paraId="1FE60849">
      <w:pPr>
        <w:spacing w:before="312" w:beforeLines="100" w:after="156" w:afterLines="50"/>
        <w:jc w:val="center"/>
        <w:outlineLvl w:val="2"/>
        <w:rPr>
          <w:rFonts w:ascii="宋体" w:hAnsi="宋体" w:eastAsia="宋体" w:cs="黑体"/>
          <w:b/>
          <w:spacing w:val="-4"/>
          <w:sz w:val="28"/>
          <w:szCs w:val="28"/>
          <w:u w:val="single"/>
        </w:rPr>
      </w:pPr>
      <w:r>
        <w:rPr>
          <w:rFonts w:hint="eastAsia" w:ascii="宋体" w:hAnsi="宋体" w:eastAsia="宋体" w:cs="黑体"/>
          <w:b/>
          <w:spacing w:val="-4"/>
          <w:sz w:val="28"/>
          <w:szCs w:val="28"/>
          <w:u w:val="single"/>
        </w:rPr>
        <w:t>5</w:t>
      </w:r>
      <w:r>
        <w:rPr>
          <w:rFonts w:ascii="宋体" w:hAnsi="宋体" w:eastAsia="宋体" w:cs="黑体"/>
          <w:b/>
          <w:spacing w:val="-4"/>
          <w:sz w:val="28"/>
          <w:szCs w:val="28"/>
          <w:u w:val="single"/>
        </w:rPr>
        <w:t>.</w:t>
      </w:r>
      <w:r>
        <w:rPr>
          <w:rFonts w:hint="eastAsia" w:ascii="宋体" w:hAnsi="宋体" w:eastAsia="宋体" w:cs="黑体"/>
          <w:b/>
          <w:spacing w:val="-4"/>
          <w:sz w:val="28"/>
          <w:szCs w:val="28"/>
          <w:u w:val="single"/>
        </w:rPr>
        <w:t>25</w:t>
      </w:r>
      <w:r>
        <w:rPr>
          <w:rFonts w:ascii="宋体" w:hAnsi="宋体" w:eastAsia="宋体" w:cs="黑体"/>
          <w:b/>
          <w:spacing w:val="-4"/>
          <w:sz w:val="28"/>
          <w:szCs w:val="28"/>
          <w:u w:val="single"/>
        </w:rPr>
        <w:t xml:space="preserve"> </w:t>
      </w:r>
      <w:r>
        <w:rPr>
          <w:rFonts w:hint="eastAsia" w:ascii="宋体" w:hAnsi="宋体" w:eastAsia="宋体" w:cs="黑体"/>
          <w:b/>
          <w:spacing w:val="-4"/>
          <w:sz w:val="28"/>
          <w:szCs w:val="28"/>
          <w:u w:val="single"/>
        </w:rPr>
        <w:t>“平疫结合”区</w:t>
      </w:r>
    </w:p>
    <w:p w14:paraId="56D8AB77">
      <w:pPr>
        <w:spacing w:before="312" w:beforeLines="100"/>
        <w:rPr>
          <w:rFonts w:cs="宋体" w:asciiTheme="minorEastAsia" w:hAnsiTheme="minorEastAsia"/>
          <w:bCs/>
          <w:highlight w:val="green"/>
        </w:rPr>
      </w:pPr>
      <w:r>
        <w:rPr>
          <w:rFonts w:hint="eastAsia" w:cs="黑体" w:asciiTheme="minorEastAsia" w:hAnsiTheme="minorEastAsia"/>
          <w:spacing w:val="-4"/>
          <w:u w:val="single"/>
        </w:rPr>
        <w:t>5.25.1 综合医院应根据承担的疫情防控任务，充分利用现有资源，合理设置“平疫结合”区内的各项功能。</w:t>
      </w:r>
    </w:p>
    <w:p w14:paraId="5136D0FE">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5.25.2～5.25.9 对“平疫结合”区的功能用房、分区设置、流线组织提出了具体要求。</w:t>
      </w:r>
    </w:p>
    <w:p w14:paraId="3EFC752B">
      <w:pPr>
        <w:spacing w:before="312" w:beforeLines="100" w:after="156" w:afterLines="50"/>
        <w:jc w:val="center"/>
        <w:outlineLvl w:val="2"/>
        <w:rPr>
          <w:rFonts w:ascii="宋体" w:hAnsi="宋体" w:eastAsia="宋体" w:cs="黑体"/>
          <w:b/>
          <w:spacing w:val="-4"/>
          <w:sz w:val="28"/>
          <w:szCs w:val="28"/>
          <w:u w:val="single"/>
        </w:rPr>
      </w:pPr>
      <w:r>
        <w:rPr>
          <w:rFonts w:hint="eastAsia" w:ascii="宋体" w:hAnsi="宋体" w:eastAsia="宋体" w:cs="黑体"/>
          <w:b/>
          <w:spacing w:val="-4"/>
          <w:sz w:val="28"/>
          <w:szCs w:val="28"/>
          <w:u w:val="single"/>
        </w:rPr>
        <w:t>5.26 其它后勤保障用房</w:t>
      </w:r>
    </w:p>
    <w:p w14:paraId="7627C4BD">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5.26.1～5.26.3 随着医院部分后勤服务的社会化、专业化，对后勤保障用房提出了相应的需求，医院应根据实际使用需求和医疗特色，设置合理规模的后勤保障用房。</w:t>
      </w:r>
    </w:p>
    <w:p w14:paraId="3FB39052">
      <w:pPr>
        <w:spacing w:line="1000" w:lineRule="exact"/>
        <w:jc w:val="center"/>
        <w:rPr>
          <w:rFonts w:eastAsia="宋体"/>
          <w:sz w:val="32"/>
          <w:szCs w:val="20"/>
        </w:rPr>
      </w:pPr>
    </w:p>
    <w:p w14:paraId="66B47919">
      <w:pPr>
        <w:spacing w:line="1000" w:lineRule="exact"/>
        <w:jc w:val="center"/>
        <w:rPr>
          <w:rFonts w:eastAsia="宋体"/>
          <w:sz w:val="32"/>
          <w:szCs w:val="20"/>
        </w:rPr>
      </w:pPr>
    </w:p>
    <w:p w14:paraId="34968FB8">
      <w:pPr>
        <w:pageBreakBefore/>
        <w:spacing w:before="100" w:beforeAutospacing="1" w:after="312" w:afterLines="100"/>
        <w:jc w:val="center"/>
        <w:outlineLvl w:val="1"/>
        <w:rPr>
          <w:rFonts w:cs="黑体" w:asciiTheme="minorEastAsia" w:hAnsiTheme="minorEastAsia"/>
          <w:b/>
          <w:spacing w:val="-4"/>
          <w:sz w:val="32"/>
          <w:szCs w:val="28"/>
        </w:rPr>
      </w:pPr>
      <w:bookmarkStart w:id="73" w:name="_Toc85880810"/>
      <w:bookmarkStart w:id="74" w:name="_Toc85880747"/>
      <w:r>
        <w:rPr>
          <w:rFonts w:hint="eastAsia" w:cs="黑体" w:asciiTheme="minorEastAsia" w:hAnsiTheme="minorEastAsia"/>
          <w:b/>
          <w:spacing w:val="-4"/>
          <w:sz w:val="32"/>
          <w:szCs w:val="28"/>
        </w:rPr>
        <w:t>6</w:t>
      </w:r>
      <w:r>
        <w:rPr>
          <w:rFonts w:cs="黑体" w:asciiTheme="minorEastAsia" w:hAnsiTheme="minorEastAsia"/>
          <w:b/>
          <w:spacing w:val="-4"/>
          <w:sz w:val="32"/>
          <w:szCs w:val="28"/>
        </w:rPr>
        <w:t>.</w:t>
      </w:r>
      <w:r>
        <w:rPr>
          <w:rFonts w:hint="eastAsia" w:cs="黑体" w:asciiTheme="minorEastAsia" w:hAnsiTheme="minorEastAsia"/>
          <w:b/>
          <w:spacing w:val="-4"/>
          <w:sz w:val="32"/>
          <w:szCs w:val="28"/>
        </w:rPr>
        <w:t>给水排水、消防和污水处理</w:t>
      </w:r>
      <w:bookmarkEnd w:id="73"/>
      <w:bookmarkEnd w:id="74"/>
    </w:p>
    <w:p w14:paraId="0F14654E">
      <w:pPr>
        <w:keepNext/>
        <w:keepLines/>
        <w:spacing w:before="312" w:beforeLines="100" w:after="156" w:afterLines="50"/>
        <w:jc w:val="center"/>
        <w:outlineLvl w:val="2"/>
        <w:rPr>
          <w:rFonts w:asciiTheme="minorEastAsia" w:hAnsiTheme="minorEastAsia"/>
          <w:b/>
          <w:bCs/>
          <w:sz w:val="28"/>
          <w:szCs w:val="28"/>
        </w:rPr>
      </w:pPr>
      <w:bookmarkStart w:id="75" w:name="6-1"/>
      <w:bookmarkEnd w:id="75"/>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1 一般规定</w:t>
      </w:r>
    </w:p>
    <w:p w14:paraId="1C7F248D">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6.1.1A 2014年习主席提出了“节水优先，空间均衡，系统治理，两手发力”的新时代治水方针，医院是我国城市的用水大户，有必要实施节水措施，以满足城市以水资源为刚性约束的经济社会可持续发展发展的要求。</w:t>
      </w:r>
    </w:p>
    <w:p w14:paraId="54A9E613">
      <w:pPr>
        <w:spacing w:before="312" w:beforeLines="100"/>
        <w:rPr>
          <w:rFonts w:cs="宋体" w:asciiTheme="minorEastAsia" w:hAnsiTheme="minorEastAsia"/>
          <w:bCs/>
        </w:rPr>
      </w:pPr>
      <w:r>
        <w:rPr>
          <w:rFonts w:hint="eastAsia" w:cs="黑体" w:asciiTheme="minorEastAsia" w:hAnsiTheme="minorEastAsia"/>
          <w:spacing w:val="-4"/>
          <w:u w:val="single"/>
        </w:rPr>
        <w:t>6.1.1B</w:t>
      </w:r>
      <w:bookmarkStart w:id="76" w:name="_Hlk82785743"/>
      <w:r>
        <w:rPr>
          <w:rFonts w:hint="eastAsia" w:cs="黑体" w:asciiTheme="minorEastAsia" w:hAnsiTheme="minorEastAsia"/>
          <w:spacing w:val="-4"/>
          <w:u w:val="single"/>
        </w:rPr>
        <w:t xml:space="preserve"> 国家标准《建筑与工业给水排水系统安全评价标准》GB/T51188</w:t>
      </w:r>
      <w:bookmarkEnd w:id="76"/>
      <w:r>
        <w:rPr>
          <w:rFonts w:hint="eastAsia" w:cs="黑体" w:asciiTheme="minorEastAsia" w:hAnsiTheme="minorEastAsia"/>
          <w:spacing w:val="-4"/>
          <w:u w:val="single"/>
        </w:rPr>
        <w:t>提出了基础安全、使用功能安全、水质安全、卫生安全、环境安全、工艺单元及设备安全、管道安全和操作安全等8类评价一级指标，都有相应的技术条款，同时也可以根据第三章提供的评价模型计算确定安全等级。对于安全评估中发现的问题应及时整改和维修，以确保应急使用过程中减少危险保养进入病房的风险。</w:t>
      </w:r>
    </w:p>
    <w:p w14:paraId="14EC513B">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6.1.1C 本条给出了新型冠状病毒感染肺炎传染病医疗设施给水系统的原则原则。根据《中华人民共和国传染病防治法》第三条的规定，新型冠状病毒感染肺炎传染病为乙类传染病。国家卫健委《新型冠状病毒感染的肺炎诊疗方案（试行第四版）》2019年12月以来，湖北省武汉市陆续发现了多例新型冠状病毒感染的肺炎患者，随着疫情的蔓延，我国其他地区及境外也相继发现了此类病例。现已将该病纳入《中华人民共和国传染病防治法》规定的乙类传染病，并采取甲类传染病的预防、控制措施。，新型冠状病毒因传播和蔓延能力较强，国家规定按照甲类进行防控，为保障公共供水的安全性，采用防回流污染能力比较强的断流水箱供水系统。</w:t>
      </w:r>
    </w:p>
    <w:p w14:paraId="48F4EE3E">
      <w:pPr>
        <w:ind w:firstLine="464" w:firstLineChars="200"/>
        <w:rPr>
          <w:rFonts w:cs="黑体" w:asciiTheme="minorEastAsia" w:hAnsiTheme="minorEastAsia"/>
          <w:spacing w:val="-4"/>
          <w:u w:val="single"/>
        </w:rPr>
      </w:pPr>
      <w:r>
        <w:rPr>
          <w:rFonts w:hint="eastAsia" w:cs="黑体" w:asciiTheme="minorEastAsia" w:hAnsiTheme="minorEastAsia"/>
          <w:spacing w:val="-4"/>
          <w:u w:val="single"/>
        </w:rPr>
        <w:t>我国公共供水向建筑、居住小区或工厂供水有3种模式，城市公共供水系统直接向建筑物供水、设置防回流阀门和断流水箱供水。当城市供水管网突然压力下降，会产生建筑物给水管道内的水回流现象，从而有可能污染了城市公共供水管网，这种情况发生在城市管网突发事件的断裂或大量市政用水造成的市政管道压力降低，目前我国有小量的事件发生。《建筑给水排水设计规范》GB50015-2003年版引入了防止污染市政给水的技术要求，要求设置倒流防止器、止回阀的技术要求，根据风险等级从高到低，要求采用设置减压型倒流防止器、低阻力倒流防止器、双止回阀倒流防止器、止回阀等。考虑到乙类传染病按甲类控制，若发生回流会有比较大的损失，为此采用断流水箱供水。断水水箱供水比减压型倒流防止器的防回流能力更强，通常在有严重的生物污染和化学污染的场所应用。</w:t>
      </w:r>
    </w:p>
    <w:p w14:paraId="7764A7FF">
      <w:pPr>
        <w:ind w:firstLine="464" w:firstLineChars="200"/>
        <w:rPr>
          <w:rFonts w:cs="黑体" w:asciiTheme="minorEastAsia" w:hAnsiTheme="minorEastAsia"/>
          <w:spacing w:val="-4"/>
          <w:u w:val="single"/>
        </w:rPr>
      </w:pPr>
      <w:r>
        <w:rPr>
          <w:rFonts w:hint="eastAsia" w:cs="黑体" w:asciiTheme="minorEastAsia" w:hAnsiTheme="minorEastAsia"/>
          <w:spacing w:val="-4"/>
          <w:u w:val="single"/>
        </w:rPr>
        <w:t>断流水箱供水要增加供水设备，运行成本较高，又没有有效利用市政自来水压力，浪费能源，在有既有建筑改造时，若没有空间安装水箱和水泵房，当采用给水系统无自身回流的可能性，且城市供水安全可靠性高，发生突发事件几率低，根据现行国家规范《建筑给水排水设计标准》GB50015和《建筑与工业给水排水系统安全评价标准》GB51188判定该既有建筑的给水系统的回流风险较低时，可采用减压型倒流防止器的防回流污染的技术措施。</w:t>
      </w:r>
    </w:p>
    <w:p w14:paraId="6B8DDBEB">
      <w:pPr>
        <w:ind w:firstLine="464" w:firstLineChars="200"/>
        <w:rPr>
          <w:rFonts w:cs="宋体" w:asciiTheme="minorEastAsia" w:hAnsiTheme="minorEastAsia"/>
          <w:bCs/>
        </w:rPr>
      </w:pPr>
      <w:r>
        <w:rPr>
          <w:rFonts w:hint="eastAsia" w:cs="黑体" w:asciiTheme="minorEastAsia" w:hAnsiTheme="minorEastAsia"/>
          <w:spacing w:val="-4"/>
          <w:u w:val="single"/>
        </w:rPr>
        <w:t>平疫结合的区域给水、热水、排水等系统宜独立设置的原则的目的生物安全，但在具体工程中因投资和其他原因而无法实施的，可根据国家标准《建筑与工业给水排水系统安全评价标准》GB/T51188具体情况研究分析确定。如关于回流污染，通常应做，但具体项目若工程实施有困难，可以根据评价标准，计算是安全的可以不设置断流水箱而采用倒流防止器。对于大城市，经过调查，通常城市的市政供水可靠性为99.9%，室内没有浴缸，卫生间干湿分开，淋浴器的软管长度不能达到大便器，医院医疗设施部分没有软管出水管；供水采用市政直接供水，这样发生倒流污染的可能性极低，若医院建设规模比较小，使用时间比较短等，综合考虑可以不采用断流水箱，而采用倒流防止器等即可，这也体现了，安全可靠，经济合理的工程原则。</w:t>
      </w:r>
    </w:p>
    <w:p w14:paraId="3C3AB0FF">
      <w:pPr>
        <w:spacing w:before="312" w:beforeLines="100"/>
        <w:rPr>
          <w:rFonts w:cs="宋体" w:asciiTheme="minorEastAsia" w:hAnsiTheme="minorEastAsia"/>
          <w:bCs/>
        </w:rPr>
      </w:pPr>
      <w:r>
        <w:rPr>
          <w:rFonts w:hint="eastAsia" w:cs="黑体" w:asciiTheme="minorEastAsia" w:hAnsiTheme="minorEastAsia"/>
          <w:spacing w:val="-4"/>
          <w:u w:val="single"/>
        </w:rPr>
        <w:t>6.1.1D 疫情是通过飞沫传染和空气传染，为此医院的房间大都采用负压病房，负压病房要求有更好的密闭性，若管道穿越处没有密封好，容易通过管道穿越发生空气交流，从而产生交叉感染。因此规定要采取强化密封措施。</w:t>
      </w:r>
    </w:p>
    <w:p w14:paraId="32A4EC65">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6.1.1E 管道和设备有初期使用磨合期，设备容易出现故障，如汽车是3</w:t>
      </w:r>
      <w:r>
        <w:rPr>
          <w:rFonts w:cs="黑体" w:asciiTheme="minorEastAsia" w:hAnsiTheme="minorEastAsia"/>
          <w:spacing w:val="-4"/>
          <w:u w:val="single"/>
        </w:rPr>
        <w:t>000k</w:t>
      </w:r>
      <w:r>
        <w:rPr>
          <w:rFonts w:hint="eastAsia" w:cs="黑体" w:asciiTheme="minorEastAsia" w:hAnsiTheme="minorEastAsia"/>
          <w:spacing w:val="-4"/>
          <w:u w:val="single"/>
        </w:rPr>
        <w:t>m的磨合期，其后进入寿命期，主要经常保养和更换易损件，疫情应急使用紧急，应采用安全可靠的设备，以减少使用期间进入病房危险的风险。对于既有，应在平疫转换中，把设备都维护保养一次，以确保安全可靠。</w:t>
      </w:r>
    </w:p>
    <w:p w14:paraId="7C0DBCA6">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6.1.1F 生物安全措施，生活给水泵房和集中生活热水机房一旦污染，会造成生物污染，因此要求设置在清洁区和半清洁区。</w:t>
      </w:r>
    </w:p>
    <w:p w14:paraId="360B23F7">
      <w:pPr>
        <w:ind w:firstLine="464" w:firstLineChars="200"/>
        <w:rPr>
          <w:rFonts w:cs="黑体" w:asciiTheme="minorEastAsia" w:hAnsiTheme="minorEastAsia"/>
          <w:spacing w:val="-4"/>
          <w:u w:val="single"/>
        </w:rPr>
      </w:pPr>
      <w:r>
        <w:rPr>
          <w:rFonts w:hint="eastAsia" w:cs="黑体" w:asciiTheme="minorEastAsia" w:hAnsiTheme="minorEastAsia"/>
          <w:spacing w:val="-4"/>
          <w:u w:val="single"/>
        </w:rPr>
        <w:t>本条的目的是确保给水和生热热水的安全，传染病医院的隔离区含有大量的致病病毒和细菌，其传播感染能力强，为防止发生可能的细菌病毒污染生活给水和热水系统，规定泵站和机房应在清洁和半清洁区。给水水箱、泵站，以及生活热水换热站等是医务人员和病人患者重要的生活资源，严禁有任何污染，一旦污染会导致不可估量的损失，因此应设置在清洁区，严禁设置在隔离区。当设置在清洁区确有困难时，设置在半清洁区时，但应有严格的防护措施，如机房采用正压通风系统，防止污染生活给水设施。</w:t>
      </w:r>
    </w:p>
    <w:p w14:paraId="646F97B7">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6.1.1G 本条的原则同本标准的6</w:t>
      </w:r>
      <w:r>
        <w:rPr>
          <w:rFonts w:cs="黑体" w:asciiTheme="minorEastAsia" w:hAnsiTheme="minorEastAsia"/>
          <w:spacing w:val="-4"/>
          <w:u w:val="single"/>
        </w:rPr>
        <w:t>.1.1C</w:t>
      </w:r>
      <w:r>
        <w:rPr>
          <w:rFonts w:hint="eastAsia" w:cs="黑体" w:asciiTheme="minorEastAsia" w:hAnsiTheme="minorEastAsia"/>
          <w:spacing w:val="-4"/>
          <w:u w:val="single"/>
        </w:rPr>
        <w:t>相类似。</w:t>
      </w:r>
    </w:p>
    <w:p w14:paraId="281C3148">
      <w:pPr>
        <w:keepNext/>
        <w:keepLines/>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2 给</w:t>
      </w:r>
      <w:r>
        <w:rPr>
          <w:rFonts w:hint="eastAsia" w:asciiTheme="minorEastAsia" w:hAnsiTheme="minorEastAsia"/>
          <w:b/>
          <w:bCs/>
          <w:sz w:val="28"/>
          <w:szCs w:val="28"/>
        </w:rPr>
        <w:t xml:space="preserve"> </w:t>
      </w:r>
      <w:r>
        <w:rPr>
          <w:rFonts w:asciiTheme="minorEastAsia" w:hAnsiTheme="minorEastAsia"/>
          <w:b/>
          <w:bCs/>
          <w:sz w:val="28"/>
          <w:szCs w:val="28"/>
        </w:rPr>
        <w:t>水</w:t>
      </w:r>
    </w:p>
    <w:p w14:paraId="5C9B5CEA">
      <w:pPr>
        <w:spacing w:before="312" w:beforeLines="100"/>
        <w:rPr>
          <w:rFonts w:cs="黑体" w:asciiTheme="minorEastAsia" w:hAnsiTheme="minorEastAsia"/>
          <w:spacing w:val="-4"/>
          <w:u w:val="single"/>
        </w:rPr>
      </w:pPr>
      <w:r>
        <w:rPr>
          <w:rFonts w:cs="黑体" w:asciiTheme="minorEastAsia" w:hAnsiTheme="minorEastAsia"/>
          <w:spacing w:val="-4"/>
          <w:u w:val="single"/>
        </w:rPr>
        <w:t>6.2.1A</w:t>
      </w:r>
      <w:r>
        <w:rPr>
          <w:rFonts w:hint="eastAsia" w:cs="黑体" w:asciiTheme="minorEastAsia" w:hAnsiTheme="minorEastAsia"/>
          <w:spacing w:val="-4"/>
          <w:u w:val="single"/>
        </w:rPr>
        <w:t xml:space="preserve"> 如烧伤病房用水等，应满足烧伤病房的用水要求等。</w:t>
      </w:r>
    </w:p>
    <w:p w14:paraId="4F485AF8">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6.2.1B 2021年郑州洪水导致多家医院因设置的地下室内的机电设备用房倍水淹没，导致医院无法正常运营，产生了不良的后果。医院是灾害时最重要的城市服务保障设施，一旦在灾害时失去功能，将导致不良的后果。国际十四五规划及2035年远景目标提出，我国要建设韧性城市，因此应根据城市对应急医疗设施的规划要求，按灾害的等级要求，建设减灾防灾和应急供水和排水措施。</w:t>
      </w:r>
    </w:p>
    <w:p w14:paraId="25D6AD65">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6.2.1C 参考人防以及灾害等级的划分原则，提出了高中低3个风险等级的最低供水保障时间要求。</w:t>
      </w:r>
    </w:p>
    <w:p w14:paraId="37C6B23D">
      <w:pPr>
        <w:spacing w:before="312" w:beforeLines="100"/>
        <w:rPr>
          <w:rFonts w:cs="宋体" w:asciiTheme="minorEastAsia" w:hAnsiTheme="minorEastAsia"/>
          <w:bCs/>
        </w:rPr>
      </w:pPr>
      <w:r>
        <w:rPr>
          <w:rFonts w:cs="宋体" w:asciiTheme="minorEastAsia" w:hAnsiTheme="minorEastAsia"/>
          <w:bCs/>
        </w:rPr>
        <w:t xml:space="preserve">6.2.2 </w:t>
      </w:r>
      <w:r>
        <w:rPr>
          <w:rFonts w:hint="eastAsia" w:cs="宋体" w:asciiTheme="minorEastAsia" w:hAnsiTheme="minorEastAsia"/>
          <w:bCs/>
        </w:rPr>
        <w:t>本条给出的用水量定额，是根据现行国家标准《建筑给水排水设计</w:t>
      </w:r>
      <w:r>
        <w:rPr>
          <w:rFonts w:hint="eastAsia" w:cs="宋体" w:asciiTheme="minorEastAsia" w:hAnsiTheme="minorEastAsia"/>
          <w:bdr w:val="single" w:color="auto" w:sz="4" w:space="0"/>
        </w:rPr>
        <w:t>规范</w:t>
      </w:r>
      <w:r>
        <w:rPr>
          <w:rFonts w:hint="eastAsia" w:cs="宋体" w:asciiTheme="minorEastAsia" w:hAnsiTheme="minorEastAsia"/>
          <w:bCs/>
          <w:u w:val="single"/>
        </w:rPr>
        <w:t>标准</w:t>
      </w:r>
      <w:r>
        <w:rPr>
          <w:rFonts w:hint="eastAsia" w:cs="宋体" w:asciiTheme="minorEastAsia" w:hAnsiTheme="minorEastAsia"/>
          <w:bCs/>
        </w:rPr>
        <w:t>》</w:t>
      </w:r>
      <w:r>
        <w:rPr>
          <w:rFonts w:cs="宋体" w:asciiTheme="minorEastAsia" w:hAnsiTheme="minorEastAsia"/>
          <w:bCs/>
        </w:rPr>
        <w:t>GB50015</w:t>
      </w:r>
      <w:r>
        <w:rPr>
          <w:rFonts w:hint="eastAsia" w:cs="宋体" w:asciiTheme="minorEastAsia" w:hAnsiTheme="minorEastAsia"/>
          <w:bCs/>
        </w:rPr>
        <w:t>作了相应的修改。</w:t>
      </w:r>
    </w:p>
    <w:p w14:paraId="5CB0B0FD">
      <w:pPr>
        <w:ind w:firstLine="464" w:firstLineChars="200"/>
        <w:rPr>
          <w:rFonts w:cs="黑体" w:asciiTheme="minorEastAsia" w:hAnsiTheme="minorEastAsia"/>
          <w:spacing w:val="-4"/>
          <w:u w:val="single"/>
        </w:rPr>
      </w:pPr>
      <w:r>
        <w:rPr>
          <w:rFonts w:hint="eastAsia" w:cs="黑体" w:asciiTheme="minorEastAsia" w:hAnsiTheme="minorEastAsia"/>
          <w:spacing w:val="-4"/>
          <w:u w:val="single"/>
        </w:rPr>
        <w:t>因节水优先的治水方针的贯彻实施，各地大都制定地方标准，当地没有标准时，可跟据当地用水统计数据研究分析确定，以实现节水的目标。</w:t>
      </w:r>
    </w:p>
    <w:p w14:paraId="0182CA28">
      <w:pPr>
        <w:spacing w:before="312" w:beforeLines="100"/>
        <w:rPr>
          <w:rFonts w:cs="黑体" w:asciiTheme="minorEastAsia" w:hAnsiTheme="minorEastAsia"/>
          <w:spacing w:val="-4"/>
          <w:u w:val="single"/>
        </w:rPr>
      </w:pPr>
      <w:r>
        <w:rPr>
          <w:rFonts w:hint="eastAsia" w:cs="黑体" w:asciiTheme="minorEastAsia" w:hAnsiTheme="minorEastAsia"/>
          <w:spacing w:val="-4"/>
          <w:u w:val="single"/>
        </w:rPr>
        <w:t>6.2.2A 新冠疫情重要的防护措施是勤洗手，勤洗澡等，其用水量经调查研究，用水量应适当增加，为此提出了增加系数。</w:t>
      </w:r>
    </w:p>
    <w:p w14:paraId="119217C2">
      <w:pPr>
        <w:spacing w:before="312" w:beforeLines="100"/>
        <w:rPr>
          <w:rFonts w:cs="宋体" w:asciiTheme="minorEastAsia" w:hAnsiTheme="minorEastAsia"/>
          <w:bCs/>
        </w:rPr>
      </w:pPr>
      <w:r>
        <w:rPr>
          <w:rFonts w:cs="宋体" w:asciiTheme="minorEastAsia" w:hAnsiTheme="minorEastAsia"/>
          <w:bCs/>
        </w:rPr>
        <w:t xml:space="preserve">6.2.5 </w:t>
      </w:r>
      <w:r>
        <w:rPr>
          <w:rFonts w:hint="eastAsia" w:cs="宋体" w:asciiTheme="minorEastAsia" w:hAnsiTheme="minorEastAsia"/>
          <w:bCs/>
        </w:rPr>
        <w:t>本条为强制性条文，必须严格执行。</w:t>
      </w:r>
      <w:r>
        <w:rPr>
          <w:rFonts w:hint="eastAsia" w:cs="宋体" w:asciiTheme="minorEastAsia" w:hAnsiTheme="minorEastAsia"/>
          <w:kern w:val="0"/>
          <w:u w:val="single"/>
        </w:rPr>
        <w:t>有交叉感染的场所应设置非手动开关，</w:t>
      </w:r>
      <w:r>
        <w:rPr>
          <w:rFonts w:hint="eastAsia" w:cs="宋体" w:asciiTheme="minorEastAsia" w:hAnsiTheme="minorEastAsia"/>
          <w:bCs/>
        </w:rPr>
        <w:t>非手动开关涵盖自动水龙头和冲洗阀，肘动、膝动和脚动</w:t>
      </w:r>
      <w:r>
        <w:rPr>
          <w:rFonts w:cs="宋体" w:asciiTheme="minorEastAsia" w:hAnsiTheme="minorEastAsia"/>
          <w:bCs/>
        </w:rPr>
        <w:t>（</w:t>
      </w:r>
      <w:r>
        <w:rPr>
          <w:rFonts w:hint="eastAsia" w:cs="宋体" w:asciiTheme="minorEastAsia" w:hAnsiTheme="minorEastAsia"/>
          <w:bCs/>
        </w:rPr>
        <w:t>踏</w:t>
      </w:r>
      <w:r>
        <w:rPr>
          <w:rFonts w:cs="宋体" w:asciiTheme="minorEastAsia" w:hAnsiTheme="minorEastAsia"/>
          <w:bCs/>
        </w:rPr>
        <w:t>）</w:t>
      </w:r>
      <w:r>
        <w:rPr>
          <w:rFonts w:hint="eastAsia" w:cs="宋体" w:asciiTheme="minorEastAsia" w:hAnsiTheme="minorEastAsia"/>
          <w:bCs/>
        </w:rPr>
        <w:t>开关或水龙头等。</w:t>
      </w:r>
    </w:p>
    <w:p w14:paraId="2CA61BEF">
      <w:pPr>
        <w:ind w:firstLine="480" w:firstLineChars="200"/>
        <w:rPr>
          <w:rFonts w:cs="宋体" w:asciiTheme="minorEastAsia" w:hAnsiTheme="minorEastAsia"/>
          <w:kern w:val="0"/>
          <w:u w:val="single"/>
        </w:rPr>
      </w:pPr>
      <w:r>
        <w:rPr>
          <w:rFonts w:hint="eastAsia" w:cs="宋体" w:asciiTheme="minorEastAsia" w:hAnsiTheme="minorEastAsia"/>
          <w:kern w:val="0"/>
          <w:u w:val="single"/>
        </w:rPr>
        <w:t>当病房当非明显交叉感染的场所为节省投资，水龙头等可采用单柄水龙头，便于操作。应充气式水龙头可能污染水质，因此不应采用。</w:t>
      </w:r>
    </w:p>
    <w:p w14:paraId="7B8A767A">
      <w:pPr>
        <w:ind w:firstLine="480" w:firstLineChars="200"/>
        <w:rPr>
          <w:rFonts w:cs="宋体" w:asciiTheme="minorEastAsia" w:hAnsiTheme="minorEastAsia"/>
          <w:bCs/>
        </w:rPr>
      </w:pPr>
      <w:r>
        <w:rPr>
          <w:rFonts w:hint="eastAsia" w:cs="宋体" w:asciiTheme="minorEastAsia" w:hAnsiTheme="minorEastAsia"/>
          <w:kern w:val="0"/>
          <w:u w:val="single"/>
        </w:rPr>
        <w:t>根据研究表明，患者的排泄物还有新冠病毒，因此不应有喷溅和黏贴，因器具要经常消毒，所以能耐腐蚀。</w:t>
      </w:r>
    </w:p>
    <w:p w14:paraId="09F015EE">
      <w:pPr>
        <w:keepNext/>
        <w:keepLines/>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3 排 水</w:t>
      </w:r>
    </w:p>
    <w:p w14:paraId="5A860109">
      <w:pPr>
        <w:spacing w:before="312" w:beforeLines="100"/>
        <w:rPr>
          <w:rFonts w:cs="宋体" w:asciiTheme="minorEastAsia" w:hAnsiTheme="minorEastAsia"/>
          <w:bCs/>
        </w:rPr>
      </w:pPr>
      <w:r>
        <w:rPr>
          <w:rFonts w:cs="宋体" w:asciiTheme="minorEastAsia" w:hAnsiTheme="minorEastAsia"/>
          <w:bCs/>
        </w:rPr>
        <w:t xml:space="preserve">6.3.2 </w:t>
      </w:r>
      <w:r>
        <w:rPr>
          <w:rFonts w:hint="eastAsia" w:cs="宋体" w:asciiTheme="minorEastAsia" w:hAnsiTheme="minorEastAsia"/>
          <w:bCs/>
        </w:rPr>
        <w:t>本条是根据医院各科室或排放的污水中所含有害、有毒、腐蚀性物质种类不同或含量不同，提出分别排放和处理要求。</w:t>
      </w:r>
    </w:p>
    <w:p w14:paraId="61E28B3D">
      <w:pPr>
        <w:ind w:firstLine="480" w:firstLineChars="200"/>
        <w:rPr>
          <w:rFonts w:cs="宋体" w:asciiTheme="minorEastAsia" w:hAnsiTheme="minorEastAsia"/>
          <w:kern w:val="0"/>
          <w:u w:val="single"/>
        </w:rPr>
      </w:pPr>
      <w:r>
        <w:rPr>
          <w:rFonts w:hint="eastAsia" w:cs="宋体" w:asciiTheme="minorEastAsia" w:hAnsiTheme="minorEastAsia"/>
          <w:kern w:val="0"/>
          <w:u w:val="single"/>
        </w:rPr>
        <w:t>放射性废水处理目前有的没有考率维护管理的要求，有的过度考虑，为此应根据放射性废水的排水量、排放周期、设施的安全可靠性等技术参数，确定合理的维护管理周期和设施设置原则。</w:t>
      </w:r>
    </w:p>
    <w:p w14:paraId="4B047C40">
      <w:pPr>
        <w:widowControl/>
        <w:spacing w:before="312" w:beforeLines="100"/>
        <w:rPr>
          <w:rFonts w:cs="宋体" w:asciiTheme="minorEastAsia" w:hAnsiTheme="minorEastAsia"/>
          <w:kern w:val="0"/>
          <w:u w:val="single"/>
        </w:rPr>
      </w:pPr>
      <w:r>
        <w:rPr>
          <w:rFonts w:hint="eastAsia" w:cs="宋体" w:asciiTheme="minorEastAsia" w:hAnsiTheme="minorEastAsia"/>
          <w:kern w:val="0"/>
          <w:u w:val="single"/>
        </w:rPr>
        <w:t>6.3.2A 根据香港2</w:t>
      </w:r>
      <w:r>
        <w:rPr>
          <w:rFonts w:cs="宋体" w:asciiTheme="minorEastAsia" w:hAnsiTheme="minorEastAsia"/>
          <w:kern w:val="0"/>
          <w:u w:val="single"/>
        </w:rPr>
        <w:t>003</w:t>
      </w:r>
      <w:r>
        <w:rPr>
          <w:rFonts w:hint="eastAsia" w:cs="宋体" w:asciiTheme="minorEastAsia" w:hAnsiTheme="minorEastAsia"/>
          <w:kern w:val="0"/>
          <w:u w:val="single"/>
        </w:rPr>
        <w:t>年S</w:t>
      </w:r>
      <w:r>
        <w:rPr>
          <w:rFonts w:cs="宋体" w:asciiTheme="minorEastAsia" w:hAnsiTheme="minorEastAsia"/>
          <w:kern w:val="0"/>
          <w:u w:val="single"/>
        </w:rPr>
        <w:t>ARS</w:t>
      </w:r>
      <w:r>
        <w:rPr>
          <w:rFonts w:hint="eastAsia" w:cs="宋体" w:asciiTheme="minorEastAsia" w:hAnsiTheme="minorEastAsia"/>
          <w:kern w:val="0"/>
          <w:u w:val="single"/>
        </w:rPr>
        <w:t>期间淘大花园的案例，排水系统水封破坏而导致排水系统的污浊空气进入室内环境，形成感染。</w:t>
      </w:r>
      <w:r>
        <w:rPr>
          <w:rFonts w:cs="宋体" w:asciiTheme="minorEastAsia" w:hAnsiTheme="minorEastAsia"/>
          <w:kern w:val="0"/>
          <w:u w:val="single"/>
        </w:rPr>
        <w:t>为确保医院排水系统的安全性</w:t>
      </w:r>
      <w:r>
        <w:rPr>
          <w:rFonts w:hint="eastAsia" w:cs="宋体" w:asciiTheme="minorEastAsia" w:hAnsiTheme="minorEastAsia"/>
          <w:kern w:val="0"/>
          <w:u w:val="single"/>
        </w:rPr>
        <w:t>，</w:t>
      </w:r>
      <w:r>
        <w:rPr>
          <w:rFonts w:cs="宋体" w:asciiTheme="minorEastAsia" w:hAnsiTheme="minorEastAsia"/>
          <w:kern w:val="0"/>
          <w:u w:val="single"/>
        </w:rPr>
        <w:t>防止排泄物</w:t>
      </w:r>
      <w:r>
        <w:rPr>
          <w:rFonts w:hint="eastAsia" w:cs="宋体" w:asciiTheme="minorEastAsia" w:hAnsiTheme="minorEastAsia"/>
          <w:kern w:val="0"/>
          <w:u w:val="single"/>
        </w:rPr>
        <w:t>形成的</w:t>
      </w:r>
      <w:r>
        <w:rPr>
          <w:rFonts w:cs="宋体" w:asciiTheme="minorEastAsia" w:hAnsiTheme="minorEastAsia"/>
          <w:kern w:val="0"/>
          <w:u w:val="single"/>
        </w:rPr>
        <w:t>气溶胶污染</w:t>
      </w:r>
      <w:r>
        <w:rPr>
          <w:rFonts w:hint="eastAsia" w:cs="宋体" w:asciiTheme="minorEastAsia" w:hAnsiTheme="minorEastAsia"/>
          <w:kern w:val="0"/>
          <w:u w:val="single"/>
        </w:rPr>
        <w:t>通过排水系统泄漏出去，污染环境，而</w:t>
      </w:r>
      <w:r>
        <w:rPr>
          <w:rFonts w:cs="宋体" w:asciiTheme="minorEastAsia" w:hAnsiTheme="minorEastAsia"/>
          <w:kern w:val="0"/>
          <w:u w:val="single"/>
        </w:rPr>
        <w:t>采取的技术措施</w:t>
      </w:r>
      <w:r>
        <w:rPr>
          <w:rFonts w:hint="eastAsia" w:cs="宋体" w:asciiTheme="minorEastAsia" w:hAnsiTheme="minorEastAsia"/>
          <w:kern w:val="0"/>
          <w:u w:val="single"/>
        </w:rPr>
        <w:t>。</w:t>
      </w:r>
    </w:p>
    <w:p w14:paraId="061F7BF8">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大量的工程实践证明，高层建筑排水系统很容易产生负压，从而导致排水系统水封被破坏。排水系统水封被破坏的重要原因之一是排水立管的通水量过大，为确保排水立管不产生过大的负压破坏水封，规定高层建筑排水立管排水能力为现行国家标准《建筑给水排水设计标准》GB50015规定值的0.7倍；</w:t>
      </w:r>
    </w:p>
    <w:p w14:paraId="00E38EF9">
      <w:pPr>
        <w:ind w:firstLine="480" w:firstLineChars="200"/>
        <w:rPr>
          <w:rFonts w:cs="宋体" w:asciiTheme="minorEastAsia" w:hAnsiTheme="minorEastAsia"/>
          <w:bCs/>
        </w:rPr>
      </w:pPr>
      <w:r>
        <w:rPr>
          <w:rFonts w:hint="eastAsia" w:cs="宋体" w:asciiTheme="minorEastAsia" w:hAnsiTheme="minorEastAsia"/>
          <w:kern w:val="0"/>
          <w:u w:val="single"/>
        </w:rPr>
        <w:t>地漏内的水很容易因蒸发、或没有水给水封充水，导致地漏的水封破坏，国际上通行的原则是给地漏水封补水，中国中元国际工程有限公司于上世纪末本世纪初北京大学外科病房楼的工程实际中，采用洗脸盆的排水给卫生间地漏补水，取得老很好的工程效果，为此本规范标准推荐实施地漏补水技术，经济合理，效果好。</w:t>
      </w:r>
    </w:p>
    <w:p w14:paraId="34F08A93">
      <w:pPr>
        <w:spacing w:before="312" w:beforeLines="100"/>
        <w:rPr>
          <w:rFonts w:cs="宋体" w:asciiTheme="minorEastAsia" w:hAnsiTheme="minorEastAsia"/>
          <w:bCs/>
        </w:rPr>
      </w:pPr>
      <w:r>
        <w:rPr>
          <w:rFonts w:cs="宋体" w:asciiTheme="minorEastAsia" w:hAnsiTheme="minorEastAsia"/>
          <w:bCs/>
        </w:rPr>
        <w:t xml:space="preserve">6.3.6 </w:t>
      </w:r>
      <w:r>
        <w:rPr>
          <w:rFonts w:hint="eastAsia" w:cs="宋体" w:asciiTheme="minorEastAsia" w:hAnsiTheme="minorEastAsia"/>
          <w:bCs/>
        </w:rPr>
        <w:t>现行国家标准《建筑给水排水设计</w:t>
      </w:r>
      <w:r>
        <w:rPr>
          <w:rFonts w:hint="eastAsia" w:cs="宋体" w:asciiTheme="minorEastAsia" w:hAnsiTheme="minorEastAsia"/>
          <w:bCs/>
          <w:bdr w:val="single" w:color="auto" w:sz="4" w:space="0"/>
        </w:rPr>
        <w:t>规范</w:t>
      </w:r>
      <w:r>
        <w:rPr>
          <w:rFonts w:hint="eastAsia" w:cs="宋体" w:asciiTheme="minorEastAsia" w:hAnsiTheme="minorEastAsia"/>
          <w:bCs/>
          <w:u w:val="single"/>
        </w:rPr>
        <w:t>标准</w:t>
      </w:r>
      <w:r>
        <w:rPr>
          <w:rFonts w:hint="eastAsia" w:cs="宋体" w:asciiTheme="minorEastAsia" w:hAnsiTheme="minorEastAsia"/>
          <w:bCs/>
        </w:rPr>
        <w:t>》</w:t>
      </w:r>
      <w:r>
        <w:rPr>
          <w:rFonts w:cs="宋体" w:asciiTheme="minorEastAsia" w:hAnsiTheme="minorEastAsia"/>
          <w:bCs/>
        </w:rPr>
        <w:t>GB50015</w:t>
      </w:r>
      <w:r>
        <w:rPr>
          <w:rFonts w:hint="eastAsia" w:cs="宋体" w:asciiTheme="minorEastAsia" w:hAnsiTheme="minorEastAsia"/>
          <w:bCs/>
        </w:rPr>
        <w:t>第</w:t>
      </w:r>
      <w:r>
        <w:rPr>
          <w:rFonts w:cs="宋体" w:asciiTheme="minorEastAsia" w:hAnsiTheme="minorEastAsia"/>
          <w:bCs/>
        </w:rPr>
        <w:t>4.</w:t>
      </w:r>
      <w:r>
        <w:rPr>
          <w:rFonts w:hint="eastAsia" w:cs="宋体" w:asciiTheme="minorEastAsia" w:hAnsiTheme="minorEastAsia"/>
          <w:bCs/>
          <w:bdr w:val="single" w:color="auto" w:sz="4" w:space="0"/>
        </w:rPr>
        <w:t>2.6</w:t>
      </w:r>
      <w:r>
        <w:rPr>
          <w:rFonts w:cs="宋体" w:asciiTheme="minorEastAsia" w:hAnsiTheme="minorEastAsia"/>
          <w:bCs/>
          <w:u w:val="single"/>
        </w:rPr>
        <w:t>3.10</w:t>
      </w:r>
      <w:r>
        <w:rPr>
          <w:rFonts w:hint="eastAsia" w:cs="宋体" w:asciiTheme="minorEastAsia" w:hAnsiTheme="minorEastAsia"/>
          <w:bCs/>
        </w:rPr>
        <w:t>条规定，构造内无存水弯的卫生器具与生活污水管道或其他可能产生有害气体的排水管道连接时，必须在排水口以下设存水弯。存水弯的水封深度不得小于</w:t>
      </w:r>
      <w:r>
        <w:rPr>
          <w:rFonts w:cs="宋体" w:asciiTheme="minorEastAsia" w:hAnsiTheme="minorEastAsia"/>
          <w:bCs/>
        </w:rPr>
        <w:t>50mm</w:t>
      </w:r>
      <w:r>
        <w:rPr>
          <w:rFonts w:hint="eastAsia" w:cs="宋体" w:asciiTheme="minorEastAsia" w:hAnsiTheme="minorEastAsia"/>
          <w:bCs/>
        </w:rPr>
        <w:t>。第</w:t>
      </w:r>
      <w:r>
        <w:rPr>
          <w:rFonts w:cs="宋体" w:asciiTheme="minorEastAsia" w:hAnsiTheme="minorEastAsia"/>
          <w:bCs/>
        </w:rPr>
        <w:t>4.</w:t>
      </w:r>
      <w:r>
        <w:rPr>
          <w:rFonts w:cs="宋体" w:asciiTheme="minorEastAsia" w:hAnsiTheme="minorEastAsia"/>
          <w:bCs/>
          <w:bdr w:val="single" w:color="auto" w:sz="4" w:space="0"/>
        </w:rPr>
        <w:t>5</w:t>
      </w:r>
      <w:r>
        <w:rPr>
          <w:rFonts w:hint="eastAsia" w:cs="宋体" w:asciiTheme="minorEastAsia" w:hAnsiTheme="minorEastAsia"/>
          <w:bCs/>
          <w:bdr w:val="single" w:color="auto" w:sz="4" w:space="0"/>
        </w:rPr>
        <w:t>.</w:t>
      </w:r>
      <w:r>
        <w:rPr>
          <w:rFonts w:cs="宋体" w:asciiTheme="minorEastAsia" w:hAnsiTheme="minorEastAsia"/>
          <w:bCs/>
          <w:bdr w:val="single" w:color="auto" w:sz="4" w:space="0"/>
        </w:rPr>
        <w:t>8</w:t>
      </w:r>
      <w:r>
        <w:rPr>
          <w:rFonts w:cs="宋体" w:asciiTheme="minorEastAsia" w:hAnsiTheme="minorEastAsia"/>
          <w:bCs/>
          <w:u w:val="single"/>
        </w:rPr>
        <w:t>3.11</w:t>
      </w:r>
      <w:r>
        <w:rPr>
          <w:rFonts w:hint="eastAsia" w:cs="宋体" w:asciiTheme="minorEastAsia" w:hAnsiTheme="minorEastAsia"/>
          <w:bCs/>
        </w:rPr>
        <w:t>条规定，</w:t>
      </w:r>
      <w:r>
        <w:rPr>
          <w:rFonts w:hint="eastAsia" w:cs="宋体" w:asciiTheme="minorEastAsia" w:hAnsiTheme="minorEastAsia"/>
          <w:bCs/>
          <w:bdr w:val="single" w:color="auto" w:sz="4" w:space="0"/>
        </w:rPr>
        <w:t>带</w:t>
      </w:r>
      <w:r>
        <w:rPr>
          <w:rFonts w:hint="eastAsia" w:cs="宋体" w:asciiTheme="minorEastAsia" w:hAnsiTheme="minorEastAsia"/>
          <w:bCs/>
        </w:rPr>
        <w:t>水封</w:t>
      </w:r>
      <w:r>
        <w:rPr>
          <w:rFonts w:hint="eastAsia" w:ascii="宋体" w:hAnsi="宋体" w:eastAsia="宋体" w:cs="宋体"/>
          <w:bCs/>
          <w:u w:val="single"/>
        </w:rPr>
        <w:t>装置</w:t>
      </w:r>
      <w:r>
        <w:rPr>
          <w:rFonts w:hint="eastAsia" w:cs="宋体" w:asciiTheme="minorEastAsia" w:hAnsiTheme="minorEastAsia"/>
          <w:bCs/>
        </w:rPr>
        <w:t>的</w:t>
      </w:r>
      <w:r>
        <w:rPr>
          <w:rFonts w:hint="eastAsia" w:cs="宋体" w:asciiTheme="minorEastAsia" w:hAnsiTheme="minorEastAsia"/>
          <w:bCs/>
          <w:bdr w:val="single" w:color="auto" w:sz="4" w:space="0"/>
        </w:rPr>
        <w:t>地漏</w:t>
      </w:r>
      <w:r>
        <w:rPr>
          <w:rFonts w:hint="eastAsia" w:cs="宋体" w:asciiTheme="minorEastAsia" w:hAnsiTheme="minorEastAsia"/>
          <w:bCs/>
        </w:rPr>
        <w:t>水封深度不得小于</w:t>
      </w:r>
      <w:r>
        <w:rPr>
          <w:rFonts w:cs="宋体" w:asciiTheme="minorEastAsia" w:hAnsiTheme="minorEastAsia"/>
          <w:bCs/>
        </w:rPr>
        <w:t>50mm</w:t>
      </w:r>
      <w:r>
        <w:rPr>
          <w:rFonts w:hint="eastAsia" w:cs="宋体" w:asciiTheme="minorEastAsia" w:hAnsiTheme="minorEastAsia"/>
          <w:bCs/>
        </w:rPr>
        <w:t>。本条与《建筑给水排水设计</w:t>
      </w:r>
      <w:r>
        <w:rPr>
          <w:rFonts w:hint="eastAsia" w:cs="宋体" w:asciiTheme="minorEastAsia" w:hAnsiTheme="minorEastAsia"/>
          <w:bCs/>
          <w:bdr w:val="single" w:color="auto" w:sz="4" w:space="0"/>
        </w:rPr>
        <w:t>规范</w:t>
      </w:r>
      <w:r>
        <w:rPr>
          <w:rFonts w:hint="eastAsia" w:cs="宋体" w:asciiTheme="minorEastAsia" w:hAnsiTheme="minorEastAsia"/>
          <w:bCs/>
          <w:u w:val="single"/>
        </w:rPr>
        <w:t>标准</w:t>
      </w:r>
      <w:r>
        <w:rPr>
          <w:rFonts w:hint="eastAsia" w:cs="宋体" w:asciiTheme="minorEastAsia" w:hAnsiTheme="minorEastAsia"/>
          <w:bCs/>
        </w:rPr>
        <w:t>》</w:t>
      </w:r>
      <w:r>
        <w:rPr>
          <w:rFonts w:cs="宋体" w:asciiTheme="minorEastAsia" w:hAnsiTheme="minorEastAsia"/>
          <w:bCs/>
        </w:rPr>
        <w:t>GB50015</w:t>
      </w:r>
      <w:r>
        <w:rPr>
          <w:rFonts w:hint="eastAsia" w:cs="宋体" w:asciiTheme="minorEastAsia" w:hAnsiTheme="minorEastAsia"/>
          <w:bCs/>
        </w:rPr>
        <w:t>略有不同，规定了水封高度的上、下限值。水封高度小于</w:t>
      </w:r>
      <w:r>
        <w:rPr>
          <w:rFonts w:cs="宋体" w:asciiTheme="minorEastAsia" w:hAnsiTheme="minorEastAsia"/>
          <w:bCs/>
        </w:rPr>
        <w:t>50.00mm</w:t>
      </w:r>
      <w:r>
        <w:rPr>
          <w:rFonts w:hint="eastAsia" w:cs="宋体" w:asciiTheme="minorEastAsia" w:hAnsiTheme="minorEastAsia"/>
          <w:bCs/>
        </w:rPr>
        <w:t>易蒸发，大于</w:t>
      </w:r>
      <w:r>
        <w:rPr>
          <w:rFonts w:cs="宋体" w:asciiTheme="minorEastAsia" w:hAnsiTheme="minorEastAsia"/>
          <w:bCs/>
        </w:rPr>
        <w:t>100.00mm</w:t>
      </w:r>
      <w:r>
        <w:rPr>
          <w:rFonts w:hint="eastAsia" w:cs="宋体" w:asciiTheme="minorEastAsia" w:hAnsiTheme="minorEastAsia"/>
          <w:bCs/>
        </w:rPr>
        <w:t>则易造成排水不畅，堵塞管道。</w:t>
      </w:r>
    </w:p>
    <w:p w14:paraId="0B00F203">
      <w:pPr>
        <w:widowControl/>
        <w:spacing w:before="312" w:beforeLines="100"/>
        <w:rPr>
          <w:rFonts w:cs="宋体" w:asciiTheme="minorEastAsia" w:hAnsiTheme="minorEastAsia"/>
          <w:kern w:val="0"/>
          <w:u w:val="single"/>
        </w:rPr>
      </w:pPr>
      <w:r>
        <w:rPr>
          <w:rFonts w:hint="eastAsia" w:cs="宋体" w:asciiTheme="minorEastAsia" w:hAnsiTheme="minorEastAsia"/>
          <w:kern w:val="0"/>
          <w:u w:val="single"/>
        </w:rPr>
        <w:t>6.3.7A 隔离区是患者居住的场所，其卫生间排水中含有致病病毒和致病菌，有着较高的风险，其排水系统的通气口会排出含有病毒的气溶胶，导致污染环境，为此高效过滤器过滤和消毒，过滤维修时应就地消毒后，并按医疗垃圾来处理；消毒处理通常采用紫外线和臭氧消毒。</w:t>
      </w:r>
    </w:p>
    <w:p w14:paraId="3E511C71">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排水系统的检查井经常冒嗅味，有可能产生呼吸系统疾病的蔓延，为此提出室外污水排水管道的连接也可以采用非检查井的连接方式，为确保排水系统内通气的畅通，规定了应设置通气管的要求，通气管应沿墙敷设，并在屋面以上高空排放，同时为便于管道系统的堵塞清掏，规定设置清扫口，清扫口的间距符合国家现行标准《建筑给水排水设计标准》GB50015的有关规定。</w:t>
      </w:r>
    </w:p>
    <w:p w14:paraId="48BCF7D9">
      <w:pPr>
        <w:ind w:firstLine="480" w:firstLineChars="200"/>
        <w:rPr>
          <w:rFonts w:cs="宋体" w:asciiTheme="minorEastAsia" w:hAnsiTheme="minorEastAsia"/>
          <w:bCs/>
        </w:rPr>
      </w:pPr>
      <w:r>
        <w:rPr>
          <w:rFonts w:hint="eastAsia" w:cs="宋体" w:asciiTheme="minorEastAsia" w:hAnsiTheme="minorEastAsia"/>
          <w:kern w:val="0"/>
          <w:u w:val="single"/>
        </w:rPr>
        <w:t>室内架空管道渗漏有可能污染空气，导致病毒的可能蔓延，尽管这种可能性较低，但排水管道漏水的可能性还是时有发生，因此排水管道要求采用高质量产品和高质量施工，并做严格的闭水试验，以防止排水管道内的污水不能外渗和泄漏。室外排水管道应采用180°的素混凝土基础，以防止管道不均匀下沉，导致管道渗漏，同时管道要采用高质量和高质量施工，防止管道渗漏，产生不必要的环境污染。</w:t>
      </w:r>
    </w:p>
    <w:p w14:paraId="147D2B6F">
      <w:pPr>
        <w:keepNext/>
        <w:keepLines/>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4 热 水</w:t>
      </w:r>
    </w:p>
    <w:p w14:paraId="20F7EE82">
      <w:pPr>
        <w:spacing w:before="312" w:beforeLines="100"/>
        <w:rPr>
          <w:rFonts w:cs="宋体" w:asciiTheme="minorEastAsia" w:hAnsiTheme="minorEastAsia"/>
          <w:bCs/>
        </w:rPr>
      </w:pPr>
      <w:r>
        <w:rPr>
          <w:rFonts w:cs="宋体" w:asciiTheme="minorEastAsia" w:hAnsiTheme="minorEastAsia"/>
          <w:bCs/>
        </w:rPr>
        <w:t xml:space="preserve">6.4.4 </w:t>
      </w:r>
      <w:r>
        <w:rPr>
          <w:rFonts w:hint="eastAsia" w:cs="宋体" w:asciiTheme="minorEastAsia" w:hAnsiTheme="minorEastAsia"/>
          <w:bCs/>
        </w:rPr>
        <w:t>本条目的是提高医院热水供应系统的安全性，与现行国家标准《建筑给水排水设计</w:t>
      </w:r>
      <w:r>
        <w:rPr>
          <w:rFonts w:hint="eastAsia" w:cs="宋体" w:asciiTheme="minorEastAsia" w:hAnsiTheme="minorEastAsia"/>
          <w:bCs/>
          <w:bdr w:val="single" w:color="auto" w:sz="4" w:space="0"/>
        </w:rPr>
        <w:t>规范</w:t>
      </w:r>
      <w:r>
        <w:rPr>
          <w:rFonts w:hint="eastAsia" w:cs="宋体" w:asciiTheme="minorEastAsia" w:hAnsiTheme="minorEastAsia"/>
          <w:kern w:val="0"/>
          <w:u w:val="single"/>
        </w:rPr>
        <w:t>标准</w:t>
      </w:r>
      <w:r>
        <w:rPr>
          <w:rFonts w:hint="eastAsia" w:cs="宋体" w:asciiTheme="minorEastAsia" w:hAnsiTheme="minorEastAsia"/>
          <w:bCs/>
        </w:rPr>
        <w:t>》</w:t>
      </w:r>
      <w:r>
        <w:rPr>
          <w:rFonts w:cs="宋体" w:asciiTheme="minorEastAsia" w:hAnsiTheme="minorEastAsia"/>
          <w:bCs/>
        </w:rPr>
        <w:t>GB50015</w:t>
      </w:r>
      <w:r>
        <w:rPr>
          <w:rFonts w:hint="eastAsia" w:cs="宋体" w:asciiTheme="minorEastAsia" w:hAnsiTheme="minorEastAsia"/>
          <w:bCs/>
        </w:rPr>
        <w:t>规定的</w:t>
      </w:r>
      <w:r>
        <w:rPr>
          <w:rFonts w:cs="宋体" w:asciiTheme="minorEastAsia" w:hAnsiTheme="minorEastAsia"/>
          <w:bCs/>
        </w:rPr>
        <w:t>50</w:t>
      </w:r>
      <w:r>
        <w:rPr>
          <w:rFonts w:hint="eastAsia" w:cs="宋体" w:asciiTheme="minorEastAsia" w:hAnsiTheme="minorEastAsia"/>
          <w:bCs/>
        </w:rPr>
        <w:t>％相比略有提高。</w:t>
      </w:r>
    </w:p>
    <w:p w14:paraId="6285B902">
      <w:pPr>
        <w:spacing w:before="312" w:beforeLines="100"/>
        <w:rPr>
          <w:rFonts w:cs="宋体" w:asciiTheme="minorEastAsia" w:hAnsiTheme="minorEastAsia"/>
          <w:bCs/>
        </w:rPr>
      </w:pPr>
      <w:r>
        <w:rPr>
          <w:rFonts w:cs="宋体" w:asciiTheme="minorEastAsia" w:hAnsiTheme="minorEastAsia"/>
          <w:bCs/>
        </w:rPr>
        <w:t xml:space="preserve">6.4.5 </w:t>
      </w:r>
      <w:r>
        <w:rPr>
          <w:rFonts w:hint="eastAsia" w:cs="宋体" w:asciiTheme="minorEastAsia" w:hAnsiTheme="minorEastAsia"/>
          <w:bCs/>
        </w:rPr>
        <w:t>本条目的是限制军团菌在热水系统中滋生。</w:t>
      </w:r>
    </w:p>
    <w:p w14:paraId="3F175C04">
      <w:pPr>
        <w:ind w:firstLine="480" w:firstLineChars="200"/>
        <w:rPr>
          <w:rFonts w:cs="宋体" w:asciiTheme="minorEastAsia" w:hAnsiTheme="minorEastAsia"/>
          <w:bCs/>
        </w:rPr>
      </w:pPr>
      <w:r>
        <w:rPr>
          <w:rFonts w:hint="eastAsia" w:cs="宋体" w:asciiTheme="minorEastAsia" w:hAnsiTheme="minorEastAsia"/>
          <w:bCs/>
        </w:rPr>
        <w:t>军团菌繁殖和生长的适宜温度是20℃～50℃、pH值为5.0～8.5，最佳生长温度为40℃。大量的研究表明，军团菌存在于各种给水系统，如市政和室内给水系统的储水箱、水龙头、淋浴喷头、阀门和管道，水处理系统和水泵，水加热器和锅炉，各种给水系统的冷却塔循环水系统的冷却塔、冷凝器，各种装饰性的喷泉、游泳池，各种水加湿系统等。通常生活热水和空调冷却循环水系统中滋生军团菌的可能性较大。生活热水系统一般要求水加热器的温度应大于60℃，这样基本可防治军团菌的滋生。空调冷却循环水系统一般应采用化学消毒的方式进行消毒灭菌，通常有</w:t>
      </w:r>
      <w:r>
        <w:rPr>
          <w:rFonts w:hint="eastAsia" w:cs="宋体" w:asciiTheme="minorEastAsia" w:hAnsiTheme="minorEastAsia"/>
          <w:bCs/>
          <w:bdr w:val="single" w:color="auto" w:sz="4" w:space="0"/>
        </w:rPr>
        <w:t>二氧化氯和臭氧</w:t>
      </w:r>
      <w:r>
        <w:rPr>
          <w:rFonts w:hint="eastAsia" w:cs="宋体" w:asciiTheme="minorEastAsia" w:hAnsiTheme="minorEastAsia"/>
          <w:bCs/>
          <w:u w:val="single"/>
        </w:rPr>
        <w:t>紫外线</w:t>
      </w:r>
      <w:r>
        <w:rPr>
          <w:rFonts w:hint="eastAsia" w:cs="宋体" w:asciiTheme="minorEastAsia" w:hAnsiTheme="minorEastAsia"/>
          <w:bCs/>
        </w:rPr>
        <w:t>等消毒剂。</w:t>
      </w:r>
    </w:p>
    <w:p w14:paraId="7E31DA91">
      <w:pPr>
        <w:ind w:firstLine="480" w:firstLineChars="200"/>
        <w:rPr>
          <w:rFonts w:cs="宋体" w:asciiTheme="minorEastAsia" w:hAnsiTheme="minorEastAsia"/>
          <w:kern w:val="0"/>
          <w:u w:val="single"/>
        </w:rPr>
      </w:pPr>
      <w:r>
        <w:rPr>
          <w:rFonts w:hint="eastAsia" w:cs="宋体" w:asciiTheme="minorEastAsia" w:hAnsiTheme="minorEastAsia"/>
          <w:kern w:val="0"/>
          <w:u w:val="single"/>
        </w:rPr>
        <w:t>本次修订，因已有全面修订的《建筑给水排水设计标准》GB50015-2019，这2本规范参数有些差异，具体原因如下：水加热器的出水温度，受2个因素控制，一则军团菌的杀灭，二则系统结垢的考量，研究表面热水但度超过60℃时，更容易结垢，但这通常是根据供水水质的情况确定，《建筑给水排水工程技术与设计手册》中提供的计算方法和公式，建议根据水质情况经计算确定。《建筑给水排水设计标准》GB50015-2019第6.2.6条中给出了不同情况下的水加热设备的出水温度；第2款，当不设置灭菌消毒设施时，医院、疗养院的出水温宜为60℃</w:t>
      </w:r>
      <w:r>
        <w:rPr>
          <w:rFonts w:hint="eastAsia" w:ascii="仿宋" w:hAnsi="仿宋" w:eastAsia="仿宋" w:cs="宋体"/>
          <w:kern w:val="0"/>
          <w:u w:val="single"/>
        </w:rPr>
        <w:t>～</w:t>
      </w:r>
      <w:r>
        <w:rPr>
          <w:rFonts w:hint="eastAsia" w:cs="宋体" w:asciiTheme="minorEastAsia" w:hAnsiTheme="minorEastAsia"/>
          <w:kern w:val="0"/>
          <w:u w:val="single"/>
        </w:rPr>
        <w:t>65℃是考虑到结垢和灭军团菌的情况下给出的规定，但目前我国医院规模越来越大，供水温度60℃甚至65℃，其集中热水供水系统的回水温度可能已不能满足回水温度50℃的要求，因此，考虑工程的复杂性，没有给出上限值，而是设计应根据具体情况计算确定。</w:t>
      </w:r>
    </w:p>
    <w:p w14:paraId="599AFA10">
      <w:pPr>
        <w:ind w:firstLine="480" w:firstLineChars="200"/>
        <w:rPr>
          <w:rFonts w:cs="宋体" w:asciiTheme="minorEastAsia" w:hAnsiTheme="minorEastAsia"/>
          <w:kern w:val="0"/>
          <w:u w:val="single"/>
        </w:rPr>
      </w:pPr>
      <w:r>
        <w:rPr>
          <w:rFonts w:hint="eastAsia" w:cs="宋体" w:asciiTheme="minorEastAsia" w:hAnsiTheme="minorEastAsia"/>
          <w:kern w:val="0"/>
          <w:u w:val="single"/>
        </w:rPr>
        <w:t>《建筑给水排水设计标准》GB50015-2019没有给出回水温度，第6.2.6条提出的是配水点温度不应低于45℃，这就有可能回水温度低于45℃，根据军团菌的生长环境条件为20℃～50℃、pH值为5.0～8.5，最佳生长温度为40℃，考虑最早的军团菌出现在宾馆和医院等场所，因此规定回水温度为50℃，与国际标准接轨。</w:t>
      </w:r>
    </w:p>
    <w:p w14:paraId="29782EBA">
      <w:pPr>
        <w:keepNext/>
        <w:keepLines/>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5 饮用水</w:t>
      </w:r>
    </w:p>
    <w:p w14:paraId="02A5532A">
      <w:pPr>
        <w:spacing w:before="312" w:beforeLines="100"/>
        <w:rPr>
          <w:rFonts w:cs="宋体" w:asciiTheme="minorEastAsia" w:hAnsiTheme="minorEastAsia"/>
          <w:bCs/>
          <w:highlight w:val="green"/>
        </w:rPr>
      </w:pPr>
      <w:r>
        <w:rPr>
          <w:rFonts w:cs="宋体" w:asciiTheme="minorEastAsia" w:hAnsiTheme="minorEastAsia"/>
          <w:kern w:val="0"/>
          <w:u w:val="single"/>
        </w:rPr>
        <w:t>6</w:t>
      </w:r>
      <w:r>
        <w:rPr>
          <w:rFonts w:hint="eastAsia" w:cs="宋体" w:asciiTheme="minorEastAsia" w:hAnsiTheme="minorEastAsia"/>
          <w:kern w:val="0"/>
          <w:u w:val="single"/>
        </w:rPr>
        <w:t>.</w:t>
      </w:r>
      <w:r>
        <w:rPr>
          <w:rFonts w:cs="宋体" w:asciiTheme="minorEastAsia" w:hAnsiTheme="minorEastAsia"/>
          <w:kern w:val="0"/>
          <w:u w:val="single"/>
        </w:rPr>
        <w:t>5</w:t>
      </w:r>
      <w:r>
        <w:rPr>
          <w:rFonts w:hint="eastAsia" w:cs="宋体" w:asciiTheme="minorEastAsia" w:hAnsiTheme="minorEastAsia"/>
          <w:kern w:val="0"/>
          <w:u w:val="single"/>
        </w:rPr>
        <w:t>.</w:t>
      </w:r>
      <w:r>
        <w:rPr>
          <w:rFonts w:cs="宋体" w:asciiTheme="minorEastAsia" w:hAnsiTheme="minorEastAsia"/>
          <w:kern w:val="0"/>
          <w:u w:val="single"/>
        </w:rPr>
        <w:t>3</w:t>
      </w:r>
      <w:r>
        <w:rPr>
          <w:rFonts w:hint="eastAsia" w:cs="宋体" w:asciiTheme="minorEastAsia" w:hAnsiTheme="minorEastAsia"/>
          <w:bCs/>
          <w:kern w:val="0"/>
          <w:u w:val="single"/>
        </w:rPr>
        <w:t xml:space="preserve"> </w:t>
      </w:r>
      <w:r>
        <w:rPr>
          <w:rFonts w:hint="eastAsia" w:cs="宋体" w:asciiTheme="minorEastAsia" w:hAnsiTheme="minorEastAsia"/>
          <w:kern w:val="0"/>
          <w:u w:val="single"/>
        </w:rPr>
        <w:t>为防止细菌滋生，提出了回水管的流速要求。饮用水采用嗅氧消毒时，末端的浓度一定不能大于0</w:t>
      </w:r>
      <w:r>
        <w:rPr>
          <w:rFonts w:cs="宋体" w:asciiTheme="minorEastAsia" w:hAnsiTheme="minorEastAsia"/>
          <w:kern w:val="0"/>
          <w:u w:val="single"/>
        </w:rPr>
        <w:t>.05mg/L</w:t>
      </w:r>
      <w:r>
        <w:rPr>
          <w:rFonts w:hint="eastAsia" w:cs="宋体" w:asciiTheme="minorEastAsia" w:hAnsiTheme="minorEastAsia"/>
          <w:kern w:val="0"/>
          <w:u w:val="single"/>
        </w:rPr>
        <w:t>，否则会对口腔粘膜造成伤害，因此在国际上大都是用语瓶装水的市场，实时应用一旦失控会导致不良的反应，因此提出严格的控制要求。</w:t>
      </w:r>
    </w:p>
    <w:p w14:paraId="1B743193">
      <w:pPr>
        <w:keepNext/>
        <w:keepLines/>
        <w:spacing w:before="312" w:beforeLines="100" w:after="156" w:afterLines="50"/>
        <w:jc w:val="center"/>
        <w:outlineLvl w:val="2"/>
        <w:rPr>
          <w:rFonts w:asciiTheme="minorEastAsia" w:hAnsiTheme="minorEastAsia"/>
          <w:b/>
          <w:bCs/>
          <w:sz w:val="28"/>
          <w:szCs w:val="28"/>
          <w:u w:val="single"/>
        </w:rPr>
      </w:pPr>
      <w:r>
        <w:rPr>
          <w:rFonts w:asciiTheme="minorEastAsia" w:hAnsiTheme="minorEastAsia"/>
          <w:b/>
          <w:bCs/>
          <w:sz w:val="28"/>
          <w:szCs w:val="28"/>
          <w:u w:val="single"/>
        </w:rPr>
        <w:t>6</w:t>
      </w:r>
      <w:r>
        <w:rPr>
          <w:rFonts w:hint="eastAsia" w:asciiTheme="minorEastAsia" w:hAnsiTheme="minorEastAsia"/>
          <w:b/>
          <w:bCs/>
          <w:sz w:val="28"/>
          <w:szCs w:val="28"/>
          <w:u w:val="single"/>
        </w:rPr>
        <w:t>.</w:t>
      </w:r>
      <w:r>
        <w:rPr>
          <w:rFonts w:asciiTheme="minorEastAsia" w:hAnsiTheme="minorEastAsia"/>
          <w:b/>
          <w:bCs/>
          <w:sz w:val="28"/>
          <w:szCs w:val="28"/>
          <w:u w:val="single"/>
        </w:rPr>
        <w:t>8 污水处理</w:t>
      </w:r>
    </w:p>
    <w:p w14:paraId="539E9A89">
      <w:pPr>
        <w:widowControl/>
        <w:spacing w:before="312" w:beforeLines="100"/>
        <w:rPr>
          <w:rFonts w:cs="宋体" w:asciiTheme="minorEastAsia" w:hAnsiTheme="minorEastAsia"/>
          <w:kern w:val="0"/>
          <w:u w:val="single"/>
        </w:rPr>
      </w:pPr>
      <w:r>
        <w:rPr>
          <w:rFonts w:hint="eastAsia" w:cs="宋体" w:asciiTheme="minorEastAsia" w:hAnsiTheme="minorEastAsia"/>
          <w:kern w:val="0"/>
          <w:u w:val="single"/>
        </w:rPr>
        <w:t>6.8.1A 2002年11月中旬我国广东省出现的一种新的传染病，随后爆发流行，在半年内蔓延30多个国家，世界卫生组织WHO公布数据显示，截止2003年8月5日，世界已报告的临床诊断病例为8422例，死亡916例，其中我国大陆累计出现病例5327例，死亡349人。在国际科研工作者共同努力下，2003年3月中旬确定该病的病原为冠状病毒的一个变种，WHO命名为严重急性呼吸综合症（Severe Acute Respiratory Syndrome），病毒为SARS-CoV。病毒来源于动物，与人类共存。SARS-CoV为单股正链RNA病毒，基因序列先后有加拿大、美国和中国科学家测定，由29751个碱基组成，分别编码RNA聚合酶蛋白（复制酶la，lb）、刺突蛋白（Spike Protein，s蛋白）、包膜E（Envelope Protein，E蛋白）、膜蛋白（Membrane Protein，M蛋白）和核衣壳蛋白（Nucleocapsid Protein，N蛋白），其顺序和大小均与其他冠状病毒相似。其中，碱基序列26 398～27 063nt被推测编确病毒221aa的包膜（M）糖蛋白，研究表明M蛋白是SARS-CoV的主要包膜基质糖蛋自。它与S蛋白相连，形成病毒包膜的基本步骤，同时也加速了病毒的装配，作为连接核衣壳和病毒包膜的桥梁，与E蛋白与衣壳之间的相互作用引起经感染细胞膜结构出芽的过程，M蛋白不仅在病毒包膜中大量存在，而且在被感染的细细胞膜上大量存在，M蛋白能诱导抗体依赖补体介导的病毒中和作用。</w:t>
      </w:r>
    </w:p>
    <w:p w14:paraId="069B6B37">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该病毒已在患者的血、尿、便、痰中测试出。SARS是一种呼吸道传染病，主要通过呼吸系统来传播。随着我国科技人员夜日继日的连续不断的科技攻关，6月初我国已经查明了SARS病毒的传染力和灭活情况，具体如下：</w:t>
      </w:r>
    </w:p>
    <w:p w14:paraId="136CD09C">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研究评价结果表明几种化学制剂可有效杀灭SARS病毒，使用含氯消毒剂和过氧乙酸，按照卫生部推荐的浓度，在几分钟内，完全可以杀死粪便和尿液中的非典型肺炎病毒；应用紫外线照射的方法，在距离为80至90厘米、强度大于90微瓦/平方厘米条件下，30分钟可杀灭体外非典型肺炎病毒；模拟5月份北京地区上午10点晴天的自然条件，紫外线强度为4至5微瓦/平方厘米，3小时可杀灭体外非典型肺炎病毒。研究还表明，非典型肺炎病毒对温度敏感，随着温度的升高，病毒存活显著下降。无血清培养条件下，37℃可以存活4天，56℃加热90分钟、75℃加热30分钟能够灭活。</w:t>
      </w:r>
    </w:p>
    <w:p w14:paraId="508BA9EB">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SARS冠状病毒的物理化学性质如下：冠状病毒在器物表面可存活3小时，室温下在粪便和尿液中至少可存活一天。腹泻病人患者粪便pH值升高，病毒的存活时间延长至4天。感染细胞培养上清中病毒在4℃和-80℃保存21天后仅有轻微的活性降低。即使在常温下48小时后病毒水平也仅降低，这说明病毒比其他冠状病毒有更强生命力。但是该病毒对热敏感，56℃即可使其灭活。对常用的消毒剂和固定液也很敏感， 的酒精就能使病毒失去感染力。含氯的消毒剂可以灭活该病毒。</w:t>
      </w:r>
    </w:p>
    <w:p w14:paraId="19026D85">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2019年的新型冠状病毒2019-nCoV与SARS-CoV是同一个类型的变种，其物理特性类似，国家卫健委《新型冠状病毒感染的肺炎诊疗方案（试行第四版）》规定，新型冠状病毒对热敏感，56℃30分存活、75%酒精、含氯消毒剂、乙醚、过氧乙酸、氯仿和紫外线等均可有效杀灭。因此该种类型的传染病的污水污物的处理消毒就完全可以对其进行灭活，确保安全。</w:t>
      </w:r>
    </w:p>
    <w:p w14:paraId="0D30564B">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污水处理首先应满足现行国家标准《传染病医院建筑设计规范》GB50849规定的二级生化处理工艺要求，但对于应急医院，其建设周期短，生化处理调试运行周期过长，考虑带实际应用与二级生化污水处理的初期运行特性，将应急医院的运行，为此本条提出当无法实施二级生化处理工艺时，提出预消毒+化粪池+消毒的强化消毒处理工艺流程。预消毒的目的是使污水处理站后续运行安全，预消毒的接触时间不小于1h，考虑到该病毒在粪便和尿液中至少存活1d的数据，尽管预消毒后期活性为降低，但从安全性考虑，规定从预消毒到出口消毒的总的水力停留时间不小于2d，以确保系统出水的安全性。根据2003年SARS期间小汤山医院污水处理的经验，采用这种方案是可行的。</w:t>
      </w:r>
    </w:p>
    <w:p w14:paraId="126B3FF5">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试验发现SARS在腹泻时，存活的时间比通常要长，其原因是pH值较高，因此规定消毒时pH值不应大于6.5，以提高消毒效果。</w:t>
      </w:r>
    </w:p>
    <w:p w14:paraId="37816322">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本规范标准没有给出两级消毒的药剂选择和投加量，应根据国家环保部或当地环保部门的技术导则来确定投加量，并适当提高。如国家生态环境部《关于做好新型冠状病毒感染的肺炎疫情医疗污水和城镇污水监管工作的通知》环办水体函〔2020〕52号文的要求，给出了消毒剂的投加量等。</w:t>
      </w:r>
    </w:p>
    <w:p w14:paraId="79C4F3FA">
      <w:pPr>
        <w:widowControl/>
        <w:ind w:firstLine="480" w:firstLineChars="200"/>
        <w:rPr>
          <w:rFonts w:cs="宋体" w:asciiTheme="minorEastAsia" w:hAnsiTheme="minorEastAsia"/>
          <w:kern w:val="0"/>
          <w:u w:val="single"/>
        </w:rPr>
      </w:pPr>
      <w:r>
        <w:rPr>
          <w:rFonts w:hint="eastAsia" w:cs="宋体" w:asciiTheme="minorEastAsia" w:hAnsiTheme="minorEastAsia"/>
          <w:kern w:val="0"/>
          <w:u w:val="single"/>
        </w:rPr>
        <w:t>污水处理池产生的尾气可能含有病毒，为此要求密闭，尾气统一收集消毒处理后排放。通常尾气收集后采用臭氧、紫外线消毒即可。</w:t>
      </w:r>
    </w:p>
    <w:p w14:paraId="13D0BBDA">
      <w:pPr>
        <w:keepNext/>
        <w:keepLines/>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6</w:t>
      </w:r>
      <w:r>
        <w:rPr>
          <w:rFonts w:hint="eastAsia" w:asciiTheme="minorEastAsia" w:hAnsiTheme="minorEastAsia"/>
          <w:b/>
          <w:bCs/>
          <w:sz w:val="28"/>
          <w:szCs w:val="28"/>
        </w:rPr>
        <w:t>.</w:t>
      </w:r>
      <w:r>
        <w:rPr>
          <w:rFonts w:asciiTheme="minorEastAsia" w:hAnsiTheme="minorEastAsia"/>
          <w:b/>
          <w:bCs/>
          <w:sz w:val="28"/>
          <w:szCs w:val="28"/>
        </w:rPr>
        <w:t>9 管 材</w:t>
      </w:r>
    </w:p>
    <w:p w14:paraId="49C361C0">
      <w:pPr>
        <w:spacing w:before="312" w:beforeLines="100"/>
        <w:rPr>
          <w:rFonts w:cs="宋体" w:asciiTheme="minorEastAsia" w:hAnsiTheme="minorEastAsia"/>
          <w:bCs/>
          <w:highlight w:val="green"/>
        </w:rPr>
      </w:pPr>
      <w:r>
        <w:rPr>
          <w:rFonts w:cs="宋体" w:asciiTheme="minorEastAsia" w:hAnsiTheme="minorEastAsia"/>
          <w:kern w:val="0"/>
        </w:rPr>
        <w:t>6</w:t>
      </w:r>
      <w:r>
        <w:rPr>
          <w:rFonts w:hint="eastAsia" w:cs="宋体" w:asciiTheme="minorEastAsia" w:hAnsiTheme="minorEastAsia"/>
          <w:kern w:val="0"/>
        </w:rPr>
        <w:t>.</w:t>
      </w:r>
      <w:r>
        <w:rPr>
          <w:rFonts w:cs="宋体" w:asciiTheme="minorEastAsia" w:hAnsiTheme="minorEastAsia"/>
          <w:kern w:val="0"/>
        </w:rPr>
        <w:t>9</w:t>
      </w:r>
      <w:r>
        <w:rPr>
          <w:rFonts w:hint="eastAsia" w:cs="宋体" w:asciiTheme="minorEastAsia" w:hAnsiTheme="minorEastAsia"/>
          <w:kern w:val="0"/>
        </w:rPr>
        <w:t>.</w:t>
      </w:r>
      <w:r>
        <w:rPr>
          <w:rFonts w:cs="宋体" w:asciiTheme="minorEastAsia" w:hAnsiTheme="minorEastAsia"/>
          <w:kern w:val="0"/>
        </w:rPr>
        <w:t>1</w:t>
      </w:r>
      <w:r>
        <w:rPr>
          <w:rFonts w:hint="eastAsia" w:cs="宋体" w:asciiTheme="minorEastAsia" w:hAnsiTheme="minorEastAsia"/>
          <w:bCs/>
          <w:kern w:val="0"/>
        </w:rPr>
        <w:t xml:space="preserve"> </w:t>
      </w:r>
      <w:r>
        <w:rPr>
          <w:rFonts w:hint="eastAsia" w:cs="宋体" w:asciiTheme="minorEastAsia" w:hAnsiTheme="minorEastAsia"/>
          <w:kern w:val="0"/>
          <w:u w:val="single"/>
        </w:rPr>
        <w:t>紫铜管和氯化聚氯乙烯CPVC管道有一定的杀菌作用，因此本次规范修订，加入，另外塑料与金属的复合管在切割时，容易发生塑料与金属分离，从而可能导致管道腐蚀加重，因此建议不采用现场加工的施工工艺。有条件的医院建议采用后壁不锈钢管，使用寿命长，符合全生命周期成本最低原则，管道连接应考虑可拆卸的维修便利的活接头。</w:t>
      </w:r>
    </w:p>
    <w:p w14:paraId="6789EE7F">
      <w:pPr>
        <w:spacing w:before="312" w:beforeLines="100"/>
        <w:rPr>
          <w:rFonts w:cs="宋体" w:asciiTheme="minorEastAsia" w:hAnsiTheme="minorEastAsia"/>
          <w:kern w:val="0"/>
          <w:u w:val="single"/>
        </w:rPr>
      </w:pPr>
      <w:r>
        <w:rPr>
          <w:rFonts w:hint="eastAsia" w:cs="宋体" w:asciiTheme="minorEastAsia" w:hAnsiTheme="minorEastAsia"/>
          <w:kern w:val="0"/>
          <w:u w:val="single"/>
        </w:rPr>
        <w:t>6.9.2A 锅炉排污水、中心（消毒）供应室</w:t>
      </w:r>
      <w:bookmarkStart w:id="103" w:name="_GoBack"/>
      <w:bookmarkEnd w:id="103"/>
      <w:r>
        <w:rPr>
          <w:rFonts w:hint="eastAsia" w:cs="宋体" w:asciiTheme="minorEastAsia" w:hAnsiTheme="minorEastAsia"/>
          <w:kern w:val="0"/>
          <w:u w:val="single"/>
        </w:rPr>
        <w:t>的消毒凝结水、开水间等高温排水场所的排水温度往往较高，短时可能接近100℃，一则可能更接近塑料排水管道的维卡软化温度和热变形温度，二则超过采用塑料管的最大排水温度40℃值，三则经常短时接受高温排水，塑料管道很容积老化变脆，寿命降低等，因此规定这些可能的高温场所应采用机制排水铸铁管。</w:t>
      </w:r>
    </w:p>
    <w:p w14:paraId="318F5F9F">
      <w:pPr>
        <w:spacing w:line="1000" w:lineRule="exact"/>
        <w:jc w:val="center"/>
        <w:rPr>
          <w:rFonts w:eastAsia="宋体"/>
          <w:sz w:val="32"/>
          <w:szCs w:val="20"/>
        </w:rPr>
      </w:pPr>
    </w:p>
    <w:p w14:paraId="6454164D">
      <w:pPr>
        <w:spacing w:line="1000" w:lineRule="exact"/>
        <w:jc w:val="center"/>
        <w:rPr>
          <w:rFonts w:eastAsia="宋体"/>
          <w:sz w:val="32"/>
          <w:szCs w:val="20"/>
        </w:rPr>
      </w:pPr>
    </w:p>
    <w:p w14:paraId="08E86304">
      <w:pPr>
        <w:pageBreakBefore/>
        <w:spacing w:before="100" w:beforeAutospacing="1" w:after="312" w:afterLines="100"/>
        <w:jc w:val="center"/>
        <w:outlineLvl w:val="1"/>
        <w:rPr>
          <w:rFonts w:cs="黑体" w:asciiTheme="minorEastAsia" w:hAnsiTheme="minorEastAsia"/>
          <w:b/>
          <w:spacing w:val="-4"/>
          <w:sz w:val="32"/>
          <w:szCs w:val="28"/>
        </w:rPr>
      </w:pPr>
      <w:bookmarkStart w:id="77" w:name="_Toc85880757"/>
      <w:bookmarkStart w:id="78" w:name="_Toc85880811"/>
      <w:r>
        <w:rPr>
          <w:rFonts w:cs="黑体" w:asciiTheme="minorEastAsia" w:hAnsiTheme="minorEastAsia"/>
          <w:b/>
          <w:spacing w:val="-4"/>
          <w:sz w:val="32"/>
          <w:szCs w:val="28"/>
        </w:rPr>
        <w:t>7.</w:t>
      </w:r>
      <w:r>
        <w:rPr>
          <w:rFonts w:hint="eastAsia" w:cs="黑体" w:asciiTheme="minorEastAsia" w:hAnsiTheme="minorEastAsia"/>
          <w:b/>
          <w:spacing w:val="-4"/>
          <w:sz w:val="32"/>
          <w:szCs w:val="28"/>
        </w:rPr>
        <w:t>采暖、通风及空调系统</w:t>
      </w:r>
      <w:bookmarkEnd w:id="77"/>
      <w:bookmarkEnd w:id="78"/>
    </w:p>
    <w:p w14:paraId="562B382A">
      <w:pPr>
        <w:keepNext/>
        <w:keepLines/>
        <w:spacing w:before="312" w:beforeLines="100" w:after="156" w:afterLines="50"/>
        <w:jc w:val="center"/>
        <w:outlineLvl w:val="2"/>
        <w:rPr>
          <w:rFonts w:asciiTheme="minorEastAsia" w:hAnsiTheme="minorEastAsia"/>
          <w:b/>
          <w:bCs/>
          <w:sz w:val="28"/>
          <w:szCs w:val="28"/>
        </w:rPr>
      </w:pPr>
      <w:bookmarkStart w:id="79" w:name="_Toc85880758"/>
      <w:r>
        <w:rPr>
          <w:rFonts w:asciiTheme="minorEastAsia" w:hAnsiTheme="minorEastAsia"/>
          <w:b/>
          <w:bCs/>
          <w:sz w:val="28"/>
          <w:szCs w:val="28"/>
        </w:rPr>
        <w:t>7.1 一般规定</w:t>
      </w:r>
      <w:bookmarkEnd w:id="79"/>
    </w:p>
    <w:p w14:paraId="53168770">
      <w:pPr>
        <w:spacing w:before="312" w:beforeLines="100"/>
        <w:rPr>
          <w:rFonts w:cs="宋体" w:asciiTheme="minorEastAsia" w:hAnsiTheme="minorEastAsia"/>
          <w:b/>
          <w:bCs/>
          <w:sz w:val="22"/>
        </w:rPr>
      </w:pPr>
      <w:r>
        <w:rPr>
          <w:rFonts w:cs="宋体" w:asciiTheme="minorEastAsia" w:hAnsiTheme="minorEastAsia"/>
          <w:bCs/>
        </w:rPr>
        <w:t xml:space="preserve">7.1.1 </w:t>
      </w:r>
      <w:r>
        <w:rPr>
          <w:rFonts w:hint="eastAsia" w:cs="宋体" w:asciiTheme="minorEastAsia" w:hAnsiTheme="minorEastAsia"/>
          <w:bCs/>
        </w:rPr>
        <w:t>我国幅员辽阔，南北纵跨两大气候带，地区经济发展水平相差较大，应强调根据现行国家标准《</w:t>
      </w:r>
      <w:r>
        <w:rPr>
          <w:rFonts w:hint="eastAsia" w:cs="宋体" w:asciiTheme="minorEastAsia" w:hAnsiTheme="minorEastAsia"/>
          <w:bCs/>
          <w:u w:val="single"/>
        </w:rPr>
        <w:t>民用</w:t>
      </w:r>
      <w:r>
        <w:rPr>
          <w:rFonts w:cs="宋体" w:asciiTheme="minorEastAsia" w:hAnsiTheme="minorEastAsia"/>
          <w:bCs/>
          <w:u w:val="single"/>
        </w:rPr>
        <w:t>建筑</w:t>
      </w:r>
      <w:r>
        <w:rPr>
          <w:rFonts w:hint="eastAsia" w:cs="宋体" w:asciiTheme="minorEastAsia" w:hAnsiTheme="minorEastAsia"/>
          <w:bCs/>
          <w:u w:val="single"/>
        </w:rPr>
        <w:t>供</w:t>
      </w:r>
      <w:r>
        <w:rPr>
          <w:rFonts w:hint="eastAsia" w:cs="宋体" w:asciiTheme="minorEastAsia" w:hAnsiTheme="minorEastAsia"/>
          <w:bCs/>
          <w:bdr w:val="single" w:color="auto" w:sz="4" w:space="0"/>
        </w:rPr>
        <w:t>采</w:t>
      </w:r>
      <w:r>
        <w:rPr>
          <w:rFonts w:hint="eastAsia" w:cs="宋体" w:asciiTheme="minorEastAsia" w:hAnsiTheme="minorEastAsia"/>
          <w:bCs/>
        </w:rPr>
        <w:t>暖通风与空气调节设计规范》</w:t>
      </w:r>
      <w:r>
        <w:rPr>
          <w:rFonts w:cs="宋体" w:asciiTheme="minorEastAsia" w:hAnsiTheme="minorEastAsia"/>
          <w:bCs/>
        </w:rPr>
        <w:t>GB50</w:t>
      </w:r>
      <w:r>
        <w:rPr>
          <w:rFonts w:cs="宋体" w:asciiTheme="minorEastAsia" w:hAnsiTheme="minorEastAsia"/>
          <w:bCs/>
          <w:bdr w:val="single" w:color="auto" w:sz="4" w:space="0"/>
        </w:rPr>
        <w:t>019</w:t>
      </w:r>
      <w:r>
        <w:rPr>
          <w:rFonts w:cs="宋体" w:asciiTheme="minorEastAsia" w:hAnsiTheme="minorEastAsia"/>
          <w:bCs/>
          <w:u w:val="single"/>
        </w:rPr>
        <w:t>736</w:t>
      </w:r>
      <w:r>
        <w:rPr>
          <w:rFonts w:hint="eastAsia" w:cs="宋体" w:asciiTheme="minorEastAsia" w:hAnsiTheme="minorEastAsia"/>
          <w:bCs/>
        </w:rPr>
        <w:t>和建设定位、使用功能等实际情况，选用合适的采暖、通风与空调系统。</w:t>
      </w:r>
    </w:p>
    <w:p w14:paraId="2256A7E9">
      <w:pPr>
        <w:spacing w:before="312" w:beforeLines="100"/>
        <w:rPr>
          <w:rFonts w:cs="宋体" w:asciiTheme="minorEastAsia" w:hAnsiTheme="minorEastAsia"/>
          <w:bCs/>
          <w:sz w:val="32"/>
          <w:szCs w:val="32"/>
          <w:highlight w:val="green"/>
        </w:rPr>
      </w:pPr>
      <w:r>
        <w:rPr>
          <w:rFonts w:hint="eastAsia" w:asciiTheme="minorEastAsia" w:hAnsiTheme="minorEastAsia"/>
          <w:bCs/>
          <w:szCs w:val="28"/>
          <w:u w:val="single"/>
        </w:rPr>
        <w:t>7.1.13A 本条给出了“平疫结合”区集中空调系统疫情期间医疗用房换气次数、新风量的要求，比平时状态增加一倍，即疫情期间换气次数不宜低于12次/h,新风量每人不应低于80m</w:t>
      </w:r>
      <w:r>
        <w:rPr>
          <w:rFonts w:hint="eastAsia" w:asciiTheme="minorEastAsia" w:hAnsiTheme="minorEastAsia"/>
          <w:bCs/>
          <w:szCs w:val="28"/>
          <w:u w:val="single"/>
          <w:vertAlign w:val="superscript"/>
        </w:rPr>
        <w:t>3</w:t>
      </w:r>
      <w:r>
        <w:rPr>
          <w:rFonts w:hint="eastAsia" w:asciiTheme="minorEastAsia" w:hAnsiTheme="minorEastAsia"/>
          <w:bCs/>
          <w:szCs w:val="28"/>
          <w:u w:val="single"/>
        </w:rPr>
        <w:t>/h，或新风量不应小于4次/h，或采用全新风运行。</w:t>
      </w:r>
    </w:p>
    <w:p w14:paraId="71744F69">
      <w:pPr>
        <w:spacing w:before="312" w:beforeLines="100"/>
        <w:rPr>
          <w:rFonts w:asciiTheme="minorEastAsia" w:hAnsiTheme="minorEastAsia"/>
          <w:bCs/>
          <w:szCs w:val="28"/>
          <w:u w:val="single"/>
        </w:rPr>
      </w:pPr>
      <w:r>
        <w:rPr>
          <w:rFonts w:hint="eastAsia" w:asciiTheme="minorEastAsia" w:hAnsiTheme="minorEastAsia"/>
          <w:bCs/>
          <w:szCs w:val="28"/>
          <w:u w:val="single"/>
        </w:rPr>
        <w:t>7.1.13B 本条给出了“平疫结合”区集中空调系统设备选型时应注意的问题，因疫情期间换气次数、新风量均比平时状态大一倍，故空调机组设备部品部件</w:t>
      </w:r>
      <w:r>
        <w:rPr>
          <w:rFonts w:asciiTheme="minorEastAsia" w:hAnsiTheme="minorEastAsia"/>
          <w:bCs/>
          <w:szCs w:val="28"/>
          <w:u w:val="single"/>
        </w:rPr>
        <w:t>的选型计算应兼顾平疫两种状态，如表冷器、风机等设备的选型计算等。</w:t>
      </w:r>
    </w:p>
    <w:p w14:paraId="16177113">
      <w:pPr>
        <w:spacing w:before="312" w:beforeLines="100"/>
        <w:rPr>
          <w:rFonts w:asciiTheme="minorEastAsia" w:hAnsiTheme="minorEastAsia"/>
          <w:bCs/>
          <w:szCs w:val="28"/>
          <w:u w:val="single"/>
        </w:rPr>
      </w:pPr>
      <w:r>
        <w:rPr>
          <w:rFonts w:hint="eastAsia" w:asciiTheme="minorEastAsia" w:hAnsiTheme="minorEastAsia"/>
          <w:bCs/>
          <w:szCs w:val="28"/>
          <w:u w:val="single"/>
        </w:rPr>
        <w:t>7.1.14A 存在病原微生物污染风险的医疗功能用房相对周围环境维持负压，是为了降低室内病原微生物泄漏至周围环境的风险，排风处理达标后排放也是为了保护周围环境，常用的排风处理方式为高效过滤器处理后排放。</w:t>
      </w:r>
    </w:p>
    <w:p w14:paraId="1C59982F">
      <w:pPr>
        <w:spacing w:before="312" w:beforeLines="100"/>
        <w:rPr>
          <w:rFonts w:asciiTheme="minorEastAsia" w:hAnsiTheme="minorEastAsia"/>
          <w:bCs/>
          <w:szCs w:val="28"/>
          <w:u w:val="single"/>
        </w:rPr>
      </w:pPr>
      <w:r>
        <w:rPr>
          <w:rFonts w:hint="eastAsia" w:asciiTheme="minorEastAsia" w:hAnsiTheme="minorEastAsia"/>
          <w:bCs/>
          <w:szCs w:val="28"/>
          <w:u w:val="single"/>
        </w:rPr>
        <w:t>7.1.17 本条给出了感染疾病科通风要求。清洁区、半污染区、污染区，各区空气污染程度不同，为防止污染区域的空气通过通风管道对较清洁区域空气的影响，要求送风、排风系统分区设置，杜绝污染空气通过系统流到清洁区的可能。感染疾病科应注意区域内的气流流向，即应保证压力梯度，使清洁区空气流向半污染区再流向污染区，不允许气流倒流。</w:t>
      </w:r>
    </w:p>
    <w:p w14:paraId="342FF1FB">
      <w:pPr>
        <w:spacing w:before="312" w:beforeLines="100"/>
        <w:rPr>
          <w:rFonts w:asciiTheme="minorEastAsia" w:hAnsiTheme="minorEastAsia"/>
          <w:bCs/>
          <w:szCs w:val="28"/>
          <w:u w:val="single"/>
        </w:rPr>
      </w:pPr>
      <w:r>
        <w:rPr>
          <w:rFonts w:hint="eastAsia" w:asciiTheme="minorEastAsia" w:hAnsiTheme="minorEastAsia"/>
          <w:bCs/>
          <w:szCs w:val="28"/>
          <w:u w:val="single"/>
        </w:rPr>
        <w:t>7.1.18 发热门诊病原微生物污染风险较高，空调独立设置，避免影响其他功能区。爆发传染病疫情时，发热门诊应能实现全新风运行。全热回收存在排风、新风交叉污染的风险，不应采用。发热门诊内飘浮在空气中附着在灰尘颗粒上的病菌，会阻隔在空调机换热盘管上，并随着冷凝水排出，这些在冷凝水中的病菌有可能使人员致病。所以应该避免将空调冷凝水排到裸露的地面，而应该将冷凝水排到设置的冷凝水管，引至医院的废、污水系统，集中处理。</w:t>
      </w:r>
    </w:p>
    <w:p w14:paraId="2E62F8C9">
      <w:pPr>
        <w:spacing w:before="312" w:beforeLines="100"/>
        <w:rPr>
          <w:rFonts w:asciiTheme="minorEastAsia" w:hAnsiTheme="minorEastAsia"/>
          <w:bCs/>
          <w:szCs w:val="28"/>
          <w:u w:val="single"/>
        </w:rPr>
      </w:pPr>
      <w:r>
        <w:rPr>
          <w:rFonts w:hint="eastAsia" w:asciiTheme="minorEastAsia" w:hAnsiTheme="minorEastAsia"/>
          <w:bCs/>
          <w:szCs w:val="28"/>
          <w:u w:val="single"/>
        </w:rPr>
        <w:t>7.1.19 类似功能房间如超低温冰箱间等，因设备散热量大，常年需要供冷，如果和大楼共用冷热源系统，容易出现过渡季、冬季无法供冷的情况，如果不具备新风供冷条件或新风量不足，将会导致房间温度过高，设备无法正常工作。</w:t>
      </w:r>
    </w:p>
    <w:p w14:paraId="25EEFF41">
      <w:pPr>
        <w:spacing w:before="312" w:beforeLines="100"/>
        <w:rPr>
          <w:rFonts w:asciiTheme="minorEastAsia" w:hAnsiTheme="minorEastAsia"/>
          <w:bCs/>
          <w:szCs w:val="28"/>
          <w:u w:val="single"/>
        </w:rPr>
      </w:pPr>
      <w:r>
        <w:rPr>
          <w:rFonts w:hint="eastAsia" w:asciiTheme="minorEastAsia" w:hAnsiTheme="minorEastAsia"/>
          <w:bCs/>
          <w:szCs w:val="28"/>
          <w:u w:val="single"/>
        </w:rPr>
        <w:t>7.1.20 负压吸引机房维持负压是为了降低对周围环境的污染，排风存在病原微生物气溶胶的风险，宜进行无害化处理。</w:t>
      </w:r>
    </w:p>
    <w:p w14:paraId="5CC317FC">
      <w:pPr>
        <w:keepNext/>
        <w:keepLines/>
        <w:spacing w:before="312" w:beforeLines="100" w:after="156" w:afterLines="50"/>
        <w:jc w:val="center"/>
        <w:outlineLvl w:val="2"/>
        <w:rPr>
          <w:rFonts w:asciiTheme="minorEastAsia" w:hAnsiTheme="minorEastAsia"/>
          <w:b/>
          <w:bCs/>
          <w:sz w:val="28"/>
          <w:szCs w:val="28"/>
        </w:rPr>
      </w:pPr>
      <w:r>
        <w:rPr>
          <w:rFonts w:hint="eastAsia" w:asciiTheme="minorEastAsia" w:hAnsiTheme="minorEastAsia"/>
          <w:b/>
          <w:bCs/>
          <w:sz w:val="28"/>
          <w:szCs w:val="28"/>
        </w:rPr>
        <w:t>7.3 门诊部</w:t>
      </w:r>
    </w:p>
    <w:p w14:paraId="437C014D">
      <w:pPr>
        <w:spacing w:before="312" w:beforeLines="100"/>
        <w:rPr>
          <w:rFonts w:cs="宋体" w:asciiTheme="minorEastAsia" w:hAnsiTheme="minorEastAsia"/>
          <w:bCs/>
          <w:sz w:val="32"/>
          <w:szCs w:val="32"/>
          <w:highlight w:val="green"/>
        </w:rPr>
      </w:pPr>
      <w:r>
        <w:rPr>
          <w:rFonts w:hint="eastAsia" w:asciiTheme="minorEastAsia" w:hAnsiTheme="minorEastAsia"/>
          <w:bCs/>
          <w:szCs w:val="28"/>
          <w:u w:val="single"/>
        </w:rPr>
        <w:t>7.3.6 中医灸法治疗室、熏蒸治疗室、煎药室容易产生异味，应进行机械排风，考虑节能运行问题，宜采用全面排风和局部排风相结合的方式。</w:t>
      </w:r>
    </w:p>
    <w:p w14:paraId="074AD040">
      <w:pPr>
        <w:keepNext/>
        <w:keepLines/>
        <w:spacing w:before="312" w:beforeLines="100" w:after="156" w:afterLines="50"/>
        <w:jc w:val="center"/>
        <w:outlineLvl w:val="2"/>
        <w:rPr>
          <w:rFonts w:asciiTheme="minorEastAsia" w:hAnsiTheme="minorEastAsia"/>
          <w:b/>
          <w:bCs/>
          <w:sz w:val="28"/>
          <w:szCs w:val="28"/>
          <w:u w:val="single"/>
        </w:rPr>
      </w:pPr>
      <w:r>
        <w:rPr>
          <w:rFonts w:hint="eastAsia" w:asciiTheme="minorEastAsia" w:hAnsiTheme="minorEastAsia"/>
          <w:b/>
          <w:bCs/>
          <w:sz w:val="28"/>
          <w:szCs w:val="28"/>
          <w:u w:val="single"/>
        </w:rPr>
        <w:t>7.4 急诊部</w:t>
      </w:r>
    </w:p>
    <w:p w14:paraId="5C23E298">
      <w:pPr>
        <w:spacing w:before="312" w:beforeLines="100"/>
        <w:rPr>
          <w:rFonts w:asciiTheme="minorEastAsia" w:hAnsiTheme="minorEastAsia"/>
          <w:bCs/>
          <w:szCs w:val="28"/>
          <w:u w:val="single"/>
        </w:rPr>
      </w:pPr>
      <w:r>
        <w:rPr>
          <w:rFonts w:hint="eastAsia" w:asciiTheme="minorEastAsia" w:hAnsiTheme="minorEastAsia"/>
          <w:bCs/>
          <w:szCs w:val="28"/>
          <w:u w:val="single"/>
        </w:rPr>
        <w:t>7.4.3</w:t>
      </w:r>
      <w:r>
        <w:rPr>
          <w:rFonts w:asciiTheme="minorEastAsia" w:hAnsiTheme="minorEastAsia"/>
          <w:bCs/>
          <w:szCs w:val="28"/>
          <w:u w:val="single"/>
        </w:rPr>
        <w:t xml:space="preserve"> </w:t>
      </w:r>
      <w:r>
        <w:rPr>
          <w:rFonts w:hint="eastAsia" w:asciiTheme="minorEastAsia" w:hAnsiTheme="minorEastAsia"/>
          <w:bCs/>
          <w:szCs w:val="28"/>
          <w:u w:val="single"/>
        </w:rPr>
        <w:t>抢救室、输液室等场所异味大、病原微生物污染风险较高，采用全新风空调系统有利于控制异味、病原微生物污染。</w:t>
      </w:r>
    </w:p>
    <w:p w14:paraId="67B8B5A9">
      <w:pPr>
        <w:spacing w:before="312" w:beforeLines="100" w:after="156" w:afterLines="50"/>
        <w:jc w:val="center"/>
        <w:outlineLvl w:val="2"/>
        <w:rPr>
          <w:rFonts w:asciiTheme="minorEastAsia" w:hAnsiTheme="minorEastAsia"/>
          <w:b/>
          <w:bCs/>
          <w:sz w:val="28"/>
          <w:szCs w:val="28"/>
        </w:rPr>
      </w:pPr>
      <w:r>
        <w:rPr>
          <w:rFonts w:hint="eastAsia" w:asciiTheme="minorEastAsia" w:hAnsiTheme="minorEastAsia"/>
          <w:b/>
          <w:bCs/>
          <w:sz w:val="28"/>
          <w:szCs w:val="28"/>
        </w:rPr>
        <w:t>7.7 医技科室</w:t>
      </w:r>
    </w:p>
    <w:p w14:paraId="341E096F">
      <w:pPr>
        <w:spacing w:before="312" w:beforeLines="100"/>
        <w:rPr>
          <w:rFonts w:cs="宋体" w:asciiTheme="minorEastAsia" w:hAnsiTheme="minorEastAsia"/>
          <w:bCs/>
          <w:highlight w:val="green"/>
        </w:rPr>
      </w:pPr>
      <w:r>
        <w:rPr>
          <w:rFonts w:hint="eastAsia" w:asciiTheme="minorEastAsia" w:hAnsiTheme="minorEastAsia"/>
          <w:u w:val="single"/>
        </w:rPr>
        <w:t>7.7.1 3</w:t>
      </w:r>
      <w:r>
        <w:rPr>
          <w:rFonts w:asciiTheme="minorEastAsia" w:hAnsiTheme="minorEastAsia"/>
          <w:u w:val="single"/>
        </w:rPr>
        <w:t>～</w:t>
      </w:r>
      <w:r>
        <w:rPr>
          <w:rFonts w:hint="eastAsia" w:asciiTheme="minorEastAsia" w:hAnsiTheme="minorEastAsia"/>
          <w:u w:val="single"/>
        </w:rPr>
        <w:t>4 当操</w:t>
      </w:r>
      <w:r>
        <w:rPr>
          <w:rFonts w:hint="eastAsia" w:asciiTheme="minorEastAsia" w:hAnsiTheme="minorEastAsia"/>
          <w:bCs/>
          <w:u w:val="single"/>
        </w:rPr>
        <w:t>作涉及有毒有害溶媒等强刺激性、强致敏性材料的操作时，一般应在通风橱、生物安全柜等能有效控制气体外泄的设备中进行</w:t>
      </w:r>
      <w:r>
        <w:rPr>
          <w:rFonts w:hint="eastAsia" w:asciiTheme="minorEastAsia" w:hAnsiTheme="minorEastAsia"/>
          <w:u w:val="single"/>
        </w:rPr>
        <w:t>。生物安全柜操作面附近不应设送风口，是为了避免送风气流干扰工作窗口气流，造成柜体内气溶胶的外泄。</w:t>
      </w:r>
    </w:p>
    <w:p w14:paraId="7F5CB685">
      <w:pPr>
        <w:spacing w:before="312" w:beforeLines="100"/>
        <w:rPr>
          <w:rFonts w:cs="宋体" w:asciiTheme="minorEastAsia" w:hAnsiTheme="minorEastAsia"/>
          <w:bCs/>
        </w:rPr>
      </w:pPr>
      <w:r>
        <w:rPr>
          <w:rFonts w:hint="eastAsia" w:asciiTheme="minorEastAsia" w:hAnsiTheme="minorEastAsia"/>
          <w:u w:val="single"/>
        </w:rPr>
        <w:t>7.7.1A 设置生物安全柜采用机械通风的实验室，</w:t>
      </w:r>
      <w:r>
        <w:rPr>
          <w:rFonts w:hint="eastAsia" w:asciiTheme="minorEastAsia" w:hAnsiTheme="minorEastAsia"/>
          <w:bCs/>
          <w:u w:val="single"/>
        </w:rPr>
        <w:t>室内的“污染”空间，主要在生物安全柜操作位置，而“清洁”空间主要在靠门一侧。一般把房间的排风口布置在生物安全柜同一侧。在进行通风空调系统设计时，对送风口和排风口的位置要精心布置，使室内气流合理，有利于室内可能被污染空气的排出。</w:t>
      </w:r>
    </w:p>
    <w:p w14:paraId="22D30C4C">
      <w:pPr>
        <w:spacing w:before="312" w:beforeLines="100"/>
        <w:rPr>
          <w:rFonts w:cs="宋体" w:asciiTheme="minorEastAsia" w:hAnsiTheme="minorEastAsia"/>
          <w:bCs/>
        </w:rPr>
      </w:pPr>
      <w:r>
        <w:rPr>
          <w:rFonts w:hint="eastAsia" w:asciiTheme="minorEastAsia" w:hAnsiTheme="minorEastAsia"/>
          <w:u w:val="single"/>
        </w:rPr>
        <w:t>7.7.1B 核酸检测实验室根据使用仪器的不同可分为四区、三区或两区，各工作区的空气不能产生交叉污染，可共用一套全新风空调系统，或各自采用一套在各自工作区循环的空调系统（应结合机械通风，控制室内压力梯度）。样本制备区为生物安全实验室，应配备生物安全柜，为避免室内压力波动，宜设置A2型生物安全柜。各使用单位可根据自己的实际使用情况选用适用的生物安全柜。当使用高危险有毒化学物质时，由于可能有累积作用，即使是少量的，建议也采用全排型的B2型生物安全柜。</w:t>
      </w:r>
    </w:p>
    <w:p w14:paraId="158B7C61">
      <w:pPr>
        <w:spacing w:before="312" w:beforeLines="100"/>
        <w:rPr>
          <w:rFonts w:cs="宋体" w:asciiTheme="minorEastAsia" w:hAnsiTheme="minorEastAsia"/>
          <w:bCs/>
          <w:highlight w:val="green"/>
        </w:rPr>
      </w:pPr>
      <w:r>
        <w:rPr>
          <w:rFonts w:hint="eastAsia" w:asciiTheme="minorEastAsia" w:hAnsiTheme="minorEastAsia"/>
          <w:bCs/>
          <w:spacing w:val="11"/>
          <w:u w:val="single"/>
        </w:rPr>
        <w:t xml:space="preserve">7.7.3A </w:t>
      </w:r>
      <w:r>
        <w:rPr>
          <w:rFonts w:hint="eastAsia" w:asciiTheme="minorEastAsia" w:hAnsiTheme="minorEastAsia"/>
          <w:bCs/>
          <w:u w:val="single"/>
        </w:rPr>
        <w:t>本条文强调</w:t>
      </w:r>
      <w:r>
        <w:rPr>
          <w:rFonts w:hint="eastAsia" w:asciiTheme="minorEastAsia" w:hAnsiTheme="minorEastAsia"/>
          <w:u w:val="single"/>
        </w:rPr>
        <w:t>内镜清洗室的通风空调系统要求。</w:t>
      </w:r>
    </w:p>
    <w:p w14:paraId="232F54A1">
      <w:pPr>
        <w:spacing w:line="1000" w:lineRule="exact"/>
        <w:jc w:val="center"/>
        <w:rPr>
          <w:rFonts w:eastAsia="宋体"/>
          <w:sz w:val="32"/>
          <w:szCs w:val="20"/>
        </w:rPr>
      </w:pPr>
    </w:p>
    <w:p w14:paraId="69CE7196">
      <w:pPr>
        <w:pageBreakBefore/>
        <w:spacing w:before="100" w:beforeAutospacing="1" w:after="312" w:afterLines="100"/>
        <w:jc w:val="center"/>
        <w:outlineLvl w:val="1"/>
        <w:rPr>
          <w:rFonts w:cs="黑体" w:asciiTheme="minorEastAsia" w:hAnsiTheme="minorEastAsia"/>
          <w:b/>
          <w:spacing w:val="-4"/>
          <w:sz w:val="32"/>
          <w:szCs w:val="28"/>
        </w:rPr>
      </w:pPr>
      <w:bookmarkStart w:id="80" w:name="_Toc85880766"/>
      <w:bookmarkStart w:id="81" w:name="_Toc85880812"/>
      <w:bookmarkStart w:id="82" w:name="_Toc374793286"/>
      <w:r>
        <w:rPr>
          <w:rFonts w:cs="黑体" w:asciiTheme="minorEastAsia" w:hAnsiTheme="minorEastAsia"/>
          <w:b/>
          <w:spacing w:val="-4"/>
          <w:sz w:val="32"/>
          <w:szCs w:val="28"/>
        </w:rPr>
        <w:t>8.电  气</w:t>
      </w:r>
      <w:bookmarkEnd w:id="80"/>
      <w:bookmarkEnd w:id="81"/>
      <w:bookmarkEnd w:id="82"/>
    </w:p>
    <w:p w14:paraId="2FE8842D">
      <w:pPr>
        <w:spacing w:before="312" w:beforeLines="100" w:after="156" w:afterLines="50"/>
        <w:jc w:val="center"/>
        <w:outlineLvl w:val="2"/>
        <w:rPr>
          <w:rFonts w:asciiTheme="minorEastAsia" w:hAnsiTheme="minorEastAsia"/>
          <w:b/>
          <w:bCs/>
          <w:sz w:val="28"/>
          <w:szCs w:val="28"/>
        </w:rPr>
      </w:pPr>
      <w:bookmarkStart w:id="83" w:name="_Toc374793287"/>
      <w:bookmarkStart w:id="84" w:name="_Toc85880767"/>
      <w:r>
        <w:rPr>
          <w:rFonts w:asciiTheme="minorEastAsia" w:hAnsiTheme="minorEastAsia"/>
          <w:b/>
          <w:bCs/>
          <w:sz w:val="28"/>
          <w:szCs w:val="28"/>
        </w:rPr>
        <w:t>8.1 一般规定</w:t>
      </w:r>
      <w:bookmarkEnd w:id="83"/>
      <w:bookmarkEnd w:id="84"/>
    </w:p>
    <w:p w14:paraId="0840688A">
      <w:pPr>
        <w:spacing w:before="312" w:beforeLines="100"/>
        <w:rPr>
          <w:rFonts w:cs="宋体" w:asciiTheme="minorEastAsia" w:hAnsiTheme="minorEastAsia"/>
          <w:bCs/>
        </w:rPr>
      </w:pPr>
      <w:bookmarkStart w:id="85" w:name="_Toc374793288"/>
      <w:bookmarkStart w:id="86" w:name="_Toc85880768"/>
      <w:r>
        <w:rPr>
          <w:rFonts w:cs="宋体" w:asciiTheme="minorEastAsia" w:hAnsiTheme="minorEastAsia"/>
          <w:bCs/>
        </w:rPr>
        <w:t xml:space="preserve">8.1.1 </w:t>
      </w:r>
      <w:r>
        <w:rPr>
          <w:rFonts w:hint="eastAsia" w:cs="宋体" w:asciiTheme="minorEastAsia" w:hAnsiTheme="minorEastAsia"/>
          <w:bCs/>
        </w:rPr>
        <w:t>医</w:t>
      </w:r>
      <w:r>
        <w:rPr>
          <w:rFonts w:hint="eastAsia" w:asciiTheme="minorEastAsia" w:hAnsiTheme="minorEastAsia"/>
          <w:bCs/>
          <w:kern w:val="18"/>
        </w:rPr>
        <w:t>院</w:t>
      </w:r>
      <w:r>
        <w:rPr>
          <w:rFonts w:hint="eastAsia" w:asciiTheme="minorEastAsia" w:hAnsiTheme="minorEastAsia"/>
          <w:kern w:val="18"/>
        </w:rPr>
        <w:t>医疗场所的划分主要依据医疗电气设备</w:t>
      </w:r>
      <w:r>
        <w:rPr>
          <w:rFonts w:hint="eastAsia" w:asciiTheme="minorEastAsia" w:hAnsiTheme="minorEastAsia"/>
          <w:kern w:val="18"/>
          <w:u w:val="single"/>
        </w:rPr>
        <w:t>及系统</w:t>
      </w:r>
      <w:r>
        <w:rPr>
          <w:rFonts w:hint="eastAsia" w:asciiTheme="minorEastAsia" w:hAnsiTheme="minorEastAsia"/>
          <w:kern w:val="18"/>
          <w:bdr w:val="single" w:color="auto" w:sz="4" w:space="0"/>
        </w:rPr>
        <w:t>的部件</w:t>
      </w:r>
      <w:r>
        <w:rPr>
          <w:rFonts w:hint="eastAsia" w:asciiTheme="minorEastAsia" w:hAnsiTheme="minorEastAsia"/>
          <w:kern w:val="18"/>
        </w:rPr>
        <w:t>与人体接触的程度，以及场所停电对患者的影响。</w:t>
      </w:r>
      <w:r>
        <w:rPr>
          <w:rFonts w:hint="eastAsia" w:asciiTheme="minorEastAsia" w:hAnsiTheme="minorEastAsia"/>
          <w:bCs/>
          <w:u w:val="single"/>
        </w:rPr>
        <w:t>此版参考IEC60364-7-710：2020,增加系统取消接触部件，涵盖更全面。</w:t>
      </w:r>
    </w:p>
    <w:p w14:paraId="29F72DA8">
      <w:pPr>
        <w:spacing w:before="312" w:beforeLines="100"/>
        <w:rPr>
          <w:rFonts w:asciiTheme="minorEastAsia" w:hAnsiTheme="minorEastAsia"/>
          <w:bCs/>
          <w:u w:val="single"/>
        </w:rPr>
      </w:pPr>
      <w:r>
        <w:rPr>
          <w:rFonts w:hint="eastAsia" w:asciiTheme="minorEastAsia" w:hAnsiTheme="minorEastAsia"/>
          <w:bCs/>
          <w:u w:val="single"/>
        </w:rPr>
        <w:t>8</w:t>
      </w:r>
      <w:r>
        <w:rPr>
          <w:rFonts w:asciiTheme="minorEastAsia" w:hAnsiTheme="minorEastAsia"/>
          <w:bCs/>
          <w:u w:val="single"/>
        </w:rPr>
        <w:t xml:space="preserve">.1.1A </w:t>
      </w:r>
      <w:r>
        <w:rPr>
          <w:rFonts w:hint="eastAsia" w:asciiTheme="minorEastAsia" w:hAnsiTheme="minorEastAsia"/>
          <w:bCs/>
          <w:u w:val="single"/>
        </w:rPr>
        <w:t>将</w:t>
      </w:r>
      <w:r>
        <w:rPr>
          <w:rFonts w:asciiTheme="minorEastAsia" w:hAnsiTheme="minorEastAsia"/>
          <w:bCs/>
          <w:u w:val="single"/>
        </w:rPr>
        <w:t>医院的</w:t>
      </w:r>
      <w:r>
        <w:rPr>
          <w:rFonts w:hint="eastAsia" w:asciiTheme="minorEastAsia" w:hAnsiTheme="minorEastAsia"/>
          <w:bCs/>
          <w:u w:val="single"/>
        </w:rPr>
        <w:t>医疗场所安全设施供电系统分级提到前面的一般规定中，便于对</w:t>
      </w:r>
      <w:r>
        <w:rPr>
          <w:rFonts w:asciiTheme="minorEastAsia" w:hAnsiTheme="minorEastAsia"/>
          <w:bCs/>
          <w:u w:val="single"/>
        </w:rPr>
        <w:t>8.1.2条的</w:t>
      </w:r>
      <w:r>
        <w:rPr>
          <w:rFonts w:hint="eastAsia" w:asciiTheme="minorEastAsia" w:hAnsiTheme="minorEastAsia"/>
          <w:bCs/>
          <w:u w:val="single"/>
        </w:rPr>
        <w:t>理解。</w:t>
      </w:r>
    </w:p>
    <w:p w14:paraId="0A9F505D">
      <w:pPr>
        <w:spacing w:before="312" w:beforeLines="100"/>
        <w:rPr>
          <w:rFonts w:asciiTheme="minorEastAsia" w:hAnsiTheme="minorEastAsia"/>
          <w:bCs/>
          <w:szCs w:val="21"/>
        </w:rPr>
      </w:pPr>
      <w:r>
        <w:rPr>
          <w:rFonts w:asciiTheme="minorEastAsia" w:hAnsiTheme="minorEastAsia"/>
          <w:snapToGrid w:val="0"/>
          <w:spacing w:val="8"/>
          <w:kern w:val="0"/>
          <w:szCs w:val="21"/>
        </w:rPr>
        <w:t>8.1.2</w:t>
      </w:r>
      <w:r>
        <w:rPr>
          <w:rFonts w:asciiTheme="minorEastAsia" w:hAnsiTheme="minorEastAsia"/>
          <w:b/>
          <w:snapToGrid w:val="0"/>
          <w:spacing w:val="8"/>
          <w:kern w:val="0"/>
          <w:szCs w:val="21"/>
        </w:rPr>
        <w:t xml:space="preserve"> </w:t>
      </w:r>
      <w:r>
        <w:rPr>
          <w:rFonts w:hint="eastAsia" w:asciiTheme="minorEastAsia" w:hAnsiTheme="minorEastAsia"/>
          <w:szCs w:val="21"/>
        </w:rPr>
        <w:t>医疗场所</w:t>
      </w:r>
      <w:r>
        <w:rPr>
          <w:rFonts w:hint="eastAsia" w:asciiTheme="minorEastAsia" w:hAnsiTheme="minorEastAsia"/>
          <w:bCs/>
          <w:szCs w:val="21"/>
        </w:rPr>
        <w:t>的分</w:t>
      </w:r>
      <w:r>
        <w:rPr>
          <w:rFonts w:hint="eastAsia" w:asciiTheme="minorEastAsia" w:hAnsiTheme="minorEastAsia"/>
          <w:iCs/>
          <w:szCs w:val="21"/>
        </w:rPr>
        <w:t>类</w:t>
      </w:r>
      <w:r>
        <w:rPr>
          <w:rFonts w:hint="eastAsia" w:asciiTheme="minorEastAsia" w:hAnsiTheme="minorEastAsia"/>
          <w:szCs w:val="21"/>
        </w:rPr>
        <w:t>及</w:t>
      </w:r>
      <w:r>
        <w:rPr>
          <w:rFonts w:hint="eastAsia" w:asciiTheme="minorEastAsia" w:hAnsiTheme="minorEastAsia"/>
          <w:szCs w:val="21"/>
          <w:bdr w:val="single" w:color="auto" w:sz="4" w:space="0"/>
        </w:rPr>
        <w:t>自动恢复供电时间</w:t>
      </w:r>
      <w:r>
        <w:rPr>
          <w:rFonts w:hint="eastAsia" w:asciiTheme="minorEastAsia" w:hAnsiTheme="minorEastAsia"/>
          <w:kern w:val="44"/>
          <w:szCs w:val="21"/>
          <w:u w:val="single"/>
        </w:rPr>
        <w:t>安全设施供电系统分级</w:t>
      </w:r>
      <w:r>
        <w:rPr>
          <w:rFonts w:hint="eastAsia" w:asciiTheme="minorEastAsia" w:hAnsiTheme="minorEastAsia"/>
          <w:bCs/>
          <w:szCs w:val="21"/>
        </w:rPr>
        <w:t>是根据我国医院的现状，综合考虑的一个示意性分类，</w:t>
      </w:r>
      <w:r>
        <w:rPr>
          <w:rFonts w:hint="eastAsia" w:asciiTheme="minorEastAsia" w:hAnsiTheme="minorEastAsia"/>
          <w:kern w:val="44"/>
          <w:szCs w:val="21"/>
          <w:u w:val="single"/>
        </w:rPr>
        <w:t>此版</w:t>
      </w:r>
      <w:r>
        <w:rPr>
          <w:rFonts w:asciiTheme="minorEastAsia" w:hAnsiTheme="minorEastAsia"/>
          <w:kern w:val="44"/>
          <w:szCs w:val="21"/>
          <w:u w:val="single"/>
        </w:rPr>
        <w:t>参考了国内现行相关规范</w:t>
      </w:r>
      <w:r>
        <w:rPr>
          <w:rFonts w:hint="eastAsia" w:asciiTheme="minorEastAsia" w:hAnsiTheme="minorEastAsia"/>
          <w:kern w:val="44"/>
          <w:szCs w:val="21"/>
          <w:u w:val="single"/>
        </w:rPr>
        <w:t>，增加了</w:t>
      </w:r>
      <w:r>
        <w:rPr>
          <w:rFonts w:asciiTheme="minorEastAsia" w:hAnsiTheme="minorEastAsia"/>
          <w:kern w:val="44"/>
          <w:szCs w:val="21"/>
          <w:u w:val="single"/>
        </w:rPr>
        <w:t>负荷分级。</w:t>
      </w:r>
      <w:r>
        <w:rPr>
          <w:rFonts w:hint="eastAsia" w:asciiTheme="minorEastAsia" w:hAnsiTheme="minorEastAsia"/>
          <w:bCs/>
          <w:szCs w:val="21"/>
        </w:rPr>
        <w:t>医疗设备发展迅速，设计时应根据医院的要求进行落实。</w:t>
      </w:r>
    </w:p>
    <w:p w14:paraId="1CDABA75">
      <w:pPr>
        <w:ind w:firstLine="480" w:firstLineChars="200"/>
        <w:rPr>
          <w:rFonts w:asciiTheme="minorEastAsia" w:hAnsiTheme="minorEastAsia"/>
          <w:bCs/>
          <w:szCs w:val="21"/>
          <w:u w:val="single"/>
        </w:rPr>
      </w:pPr>
      <w:r>
        <w:rPr>
          <w:rFonts w:hint="eastAsia" w:asciiTheme="minorEastAsia" w:hAnsiTheme="minorEastAsia"/>
          <w:bCs/>
          <w:szCs w:val="21"/>
          <w:u w:val="single"/>
        </w:rPr>
        <w:t>此版增加了急诊检查设备和术中检查设备，区别于其他场景的检查设备。此版应医院反馈，将普通功能检查、影像检查的安全设施系统调整为</w:t>
      </w:r>
      <w:r>
        <w:rPr>
          <w:rFonts w:asciiTheme="minorEastAsia" w:hAnsiTheme="minorEastAsia"/>
          <w:bCs/>
          <w:szCs w:val="21"/>
          <w:u w:val="single"/>
        </w:rPr>
        <w:t>F级</w:t>
      </w:r>
      <w:r>
        <w:rPr>
          <w:rFonts w:hint="eastAsia" w:asciiTheme="minorEastAsia" w:hAnsiTheme="minorEastAsia"/>
          <w:bCs/>
          <w:szCs w:val="21"/>
          <w:u w:val="single"/>
        </w:rPr>
        <w:t>。</w:t>
      </w:r>
    </w:p>
    <w:p w14:paraId="046E388D">
      <w:pPr>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8.2 电 源</w:t>
      </w:r>
      <w:bookmarkEnd w:id="85"/>
      <w:bookmarkEnd w:id="86"/>
    </w:p>
    <w:p w14:paraId="494A38CC">
      <w:pPr>
        <w:spacing w:before="312" w:beforeLines="100"/>
        <w:rPr>
          <w:rFonts w:asciiTheme="minorEastAsia" w:hAnsiTheme="minorEastAsia"/>
          <w:sz w:val="32"/>
        </w:rPr>
      </w:pPr>
      <w:r>
        <w:rPr>
          <w:rFonts w:asciiTheme="minorEastAsia" w:hAnsiTheme="minorEastAsia"/>
          <w:snapToGrid w:val="0"/>
          <w:spacing w:val="8"/>
          <w:kern w:val="0"/>
          <w:szCs w:val="21"/>
        </w:rPr>
        <w:t>8.2.1</w:t>
      </w:r>
      <w:r>
        <w:rPr>
          <w:rFonts w:asciiTheme="minorEastAsia" w:hAnsiTheme="minorEastAsia"/>
          <w:szCs w:val="21"/>
        </w:rPr>
        <w:t xml:space="preserve"> 医院的供配电系统</w:t>
      </w:r>
      <w:r>
        <w:rPr>
          <w:rFonts w:asciiTheme="minorEastAsia" w:hAnsiTheme="minorEastAsia"/>
          <w:szCs w:val="21"/>
          <w:bdr w:val="single" w:color="auto" w:sz="4" w:space="0"/>
        </w:rPr>
        <w:t>设计</w:t>
      </w:r>
      <w:r>
        <w:rPr>
          <w:rFonts w:asciiTheme="minorEastAsia" w:hAnsiTheme="minorEastAsia"/>
          <w:szCs w:val="21"/>
          <w:u w:val="single"/>
        </w:rPr>
        <w:t>除了需要按照供电负荷等级设置外，还</w:t>
      </w:r>
      <w:r>
        <w:rPr>
          <w:rFonts w:hint="eastAsia" w:asciiTheme="minorEastAsia" w:hAnsiTheme="minorEastAsia"/>
          <w:szCs w:val="21"/>
        </w:rPr>
        <w:t>应</w:t>
      </w:r>
      <w:r>
        <w:rPr>
          <w:rFonts w:asciiTheme="minorEastAsia" w:hAnsiTheme="minorEastAsia"/>
          <w:szCs w:val="21"/>
        </w:rPr>
        <w:t>按照</w:t>
      </w:r>
      <w:r>
        <w:rPr>
          <w:rFonts w:asciiTheme="minorEastAsia" w:hAnsiTheme="minorEastAsia"/>
          <w:szCs w:val="21"/>
          <w:bdr w:val="single" w:color="auto" w:sz="4" w:space="0"/>
        </w:rPr>
        <w:t>新的</w:t>
      </w:r>
      <w:r>
        <w:rPr>
          <w:rFonts w:asciiTheme="minorEastAsia" w:hAnsiTheme="minorEastAsia"/>
          <w:szCs w:val="21"/>
        </w:rPr>
        <w:t>医疗场所</w:t>
      </w:r>
      <w:r>
        <w:rPr>
          <w:rFonts w:asciiTheme="minorEastAsia" w:hAnsiTheme="minorEastAsia"/>
          <w:bCs/>
          <w:szCs w:val="21"/>
        </w:rPr>
        <w:t>分</w:t>
      </w:r>
      <w:r>
        <w:rPr>
          <w:rFonts w:asciiTheme="minorEastAsia" w:hAnsiTheme="minorEastAsia"/>
          <w:iCs/>
          <w:szCs w:val="21"/>
        </w:rPr>
        <w:t>类及</w:t>
      </w:r>
      <w:r>
        <w:rPr>
          <w:rFonts w:hint="eastAsia" w:asciiTheme="minorEastAsia" w:hAnsiTheme="minorEastAsia"/>
          <w:szCs w:val="21"/>
          <w:u w:val="single"/>
        </w:rPr>
        <w:t>安全设施供电系统分级的要求</w:t>
      </w:r>
      <w:r>
        <w:rPr>
          <w:rFonts w:asciiTheme="minorEastAsia" w:hAnsiTheme="minorEastAsia"/>
          <w:iCs/>
          <w:szCs w:val="21"/>
          <w:bdr w:val="single" w:color="auto" w:sz="4" w:space="0"/>
        </w:rPr>
        <w:t>自动恢复供电时间</w:t>
      </w:r>
      <w:r>
        <w:rPr>
          <w:rFonts w:asciiTheme="minorEastAsia" w:hAnsiTheme="minorEastAsia"/>
          <w:iCs/>
          <w:szCs w:val="21"/>
        </w:rPr>
        <w:t>进行设计</w:t>
      </w:r>
      <w:r>
        <w:rPr>
          <w:rFonts w:asciiTheme="minorEastAsia" w:hAnsiTheme="minorEastAsia"/>
          <w:szCs w:val="21"/>
        </w:rPr>
        <w:t>。</w:t>
      </w:r>
      <w:r>
        <w:rPr>
          <w:rFonts w:asciiTheme="minorEastAsia" w:hAnsiTheme="minorEastAsia"/>
          <w:szCs w:val="21"/>
          <w:bdr w:val="single" w:color="auto" w:sz="4" w:space="0"/>
        </w:rPr>
        <w:t>这种方式参照了现行国家标准《建筑物电气装置第7-710部分;特殊装置或场所的要求——医疗场所》GB16895.24-2005(IEC-60364-710)中的相关标准制订。</w:t>
      </w:r>
      <w:r>
        <w:rPr>
          <w:rFonts w:asciiTheme="minorEastAsia" w:hAnsiTheme="minorEastAsia"/>
          <w:szCs w:val="21"/>
        </w:rPr>
        <w:t>医疗场所</w:t>
      </w:r>
      <w:r>
        <w:rPr>
          <w:rFonts w:asciiTheme="minorEastAsia" w:hAnsiTheme="minorEastAsia"/>
          <w:bCs/>
          <w:szCs w:val="21"/>
        </w:rPr>
        <w:t>分</w:t>
      </w:r>
      <w:r>
        <w:rPr>
          <w:rFonts w:asciiTheme="minorEastAsia" w:hAnsiTheme="minorEastAsia"/>
          <w:iCs/>
          <w:szCs w:val="21"/>
        </w:rPr>
        <w:t>类体现了医疗环境对患者的影响。</w:t>
      </w:r>
      <w:r>
        <w:rPr>
          <w:rFonts w:hint="eastAsia" w:asciiTheme="minorEastAsia" w:hAnsiTheme="minorEastAsia"/>
          <w:szCs w:val="21"/>
          <w:u w:val="single"/>
        </w:rPr>
        <w:t>安全设施供电系统分级明确了设施的</w:t>
      </w:r>
      <w:r>
        <w:rPr>
          <w:rFonts w:asciiTheme="minorEastAsia" w:hAnsiTheme="minorEastAsia"/>
          <w:iCs/>
          <w:szCs w:val="21"/>
        </w:rPr>
        <w:t>自动恢复供电时间，针对患者对环境的要求，也包含了对设备的要求。</w:t>
      </w:r>
    </w:p>
    <w:p w14:paraId="1D7E0432">
      <w:pPr>
        <w:spacing w:before="312" w:beforeLines="100"/>
        <w:rPr>
          <w:rFonts w:cs="宋体" w:asciiTheme="minorEastAsia" w:hAnsiTheme="minorEastAsia"/>
          <w:bCs/>
        </w:rPr>
      </w:pPr>
      <w:r>
        <w:rPr>
          <w:rFonts w:cs="宋体" w:asciiTheme="minorEastAsia" w:hAnsiTheme="minorEastAsia"/>
          <w:bCs/>
        </w:rPr>
        <w:t xml:space="preserve">8.2.3 </w:t>
      </w:r>
      <w:r>
        <w:rPr>
          <w:rFonts w:hint="eastAsia" w:cs="宋体" w:asciiTheme="minorEastAsia" w:hAnsiTheme="minorEastAsia"/>
          <w:bCs/>
          <w:u w:val="single"/>
        </w:rPr>
        <w:t>净化电源由正弦能量分配器和大功率滤波器并联组成，具有稳压范围宽，响应速度快，稳压精度高等特点，并能有效地抑制电网和各种噪声和尖峰干扰。</w:t>
      </w:r>
      <w:r>
        <w:rPr>
          <w:rFonts w:hint="eastAsia" w:cs="宋体" w:asciiTheme="minorEastAsia" w:hAnsiTheme="minorEastAsia"/>
          <w:bCs/>
        </w:rPr>
        <w:t>部分医疗设备对电源的要求较高，为便于管理和节约成本，宜采用集中净化</w:t>
      </w:r>
      <w:r>
        <w:rPr>
          <w:rFonts w:hint="eastAsia" w:cs="宋体" w:asciiTheme="minorEastAsia" w:hAnsiTheme="minorEastAsia"/>
          <w:bCs/>
          <w:u w:val="single"/>
        </w:rPr>
        <w:t>电源</w:t>
      </w:r>
      <w:r>
        <w:rPr>
          <w:rFonts w:hint="eastAsia" w:cs="宋体" w:asciiTheme="minorEastAsia" w:hAnsiTheme="minorEastAsia"/>
          <w:bCs/>
        </w:rPr>
        <w:t>系统，且需满足工艺及设备要求。</w:t>
      </w:r>
    </w:p>
    <w:p w14:paraId="09CA9AB6">
      <w:pPr>
        <w:spacing w:before="312" w:beforeLines="100"/>
        <w:rPr>
          <w:rFonts w:cs="宋体" w:asciiTheme="minorEastAsia" w:hAnsiTheme="minorEastAsia"/>
          <w:bCs/>
        </w:rPr>
      </w:pPr>
      <w:r>
        <w:rPr>
          <w:rFonts w:cs="宋体" w:asciiTheme="minorEastAsia" w:hAnsiTheme="minorEastAsia"/>
          <w:bCs/>
        </w:rPr>
        <w:t xml:space="preserve">8.2.4 </w:t>
      </w:r>
      <w:r>
        <w:rPr>
          <w:rFonts w:hint="eastAsia" w:cs="宋体" w:asciiTheme="minorEastAsia" w:hAnsiTheme="minorEastAsia"/>
          <w:bCs/>
        </w:rPr>
        <w:t>放射科大型医疗设备瞬时压降大，由变电所单独供电，一方面保证线路的压降控制在一定范围，另一方面减少对其他设备的干扰。</w:t>
      </w:r>
      <w:r>
        <w:rPr>
          <w:rFonts w:hint="eastAsia" w:cs="宋体" w:asciiTheme="minorEastAsia" w:hAnsiTheme="minorEastAsia"/>
          <w:bCs/>
          <w:u w:val="single"/>
        </w:rPr>
        <w:t>当放射科</w:t>
      </w:r>
      <w:r>
        <w:rPr>
          <w:rFonts w:cs="宋体" w:asciiTheme="minorEastAsia" w:hAnsiTheme="minorEastAsia"/>
          <w:bCs/>
          <w:u w:val="single"/>
        </w:rPr>
        <w:t>多台设备</w:t>
      </w:r>
      <w:r>
        <w:rPr>
          <w:rFonts w:hint="eastAsia" w:cs="宋体" w:asciiTheme="minorEastAsia" w:hAnsiTheme="minorEastAsia"/>
          <w:bCs/>
          <w:u w:val="single"/>
        </w:rPr>
        <w:t>设置分配电系统时，也可由分配电系统放射式供电。</w:t>
      </w:r>
    </w:p>
    <w:p w14:paraId="0673A15F">
      <w:pPr>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8.3 安全</w:t>
      </w:r>
      <w:r>
        <w:rPr>
          <w:rFonts w:asciiTheme="minorEastAsia" w:hAnsiTheme="minorEastAsia"/>
          <w:b/>
          <w:bCs/>
          <w:sz w:val="28"/>
          <w:szCs w:val="28"/>
          <w:u w:val="single"/>
        </w:rPr>
        <w:t>防</w:t>
      </w:r>
      <w:r>
        <w:rPr>
          <w:rFonts w:asciiTheme="minorEastAsia" w:hAnsiTheme="minorEastAsia"/>
          <w:b/>
          <w:bCs/>
          <w:sz w:val="28"/>
          <w:szCs w:val="28"/>
          <w:bdr w:val="single" w:color="auto" w:sz="4" w:space="0"/>
        </w:rPr>
        <w:t>保</w:t>
      </w:r>
      <w:r>
        <w:rPr>
          <w:rFonts w:asciiTheme="minorEastAsia" w:hAnsiTheme="minorEastAsia"/>
          <w:b/>
          <w:bCs/>
          <w:sz w:val="28"/>
          <w:szCs w:val="28"/>
        </w:rPr>
        <w:t>护</w:t>
      </w:r>
    </w:p>
    <w:p w14:paraId="76B3410E">
      <w:pPr>
        <w:spacing w:before="312" w:beforeLines="100"/>
        <w:rPr>
          <w:rFonts w:cs="宋体" w:asciiTheme="minorEastAsia" w:hAnsiTheme="minorEastAsia"/>
          <w:bCs/>
        </w:rPr>
      </w:pPr>
      <w:r>
        <w:rPr>
          <w:rFonts w:hint="eastAsia" w:cs="宋体" w:asciiTheme="minorEastAsia" w:hAnsiTheme="minorEastAsia"/>
          <w:bCs/>
        </w:rPr>
        <w:t xml:space="preserve">8.3.2 </w:t>
      </w:r>
      <w:r>
        <w:rPr>
          <w:rFonts w:hint="eastAsia" w:cs="宋体" w:asciiTheme="minorEastAsia" w:hAnsiTheme="minorEastAsia"/>
          <w:bCs/>
          <w:bdr w:val="single" w:color="auto" w:sz="4" w:space="0"/>
        </w:rPr>
        <w:t>本条规定是根据《建筑物电气装置第7-710部分：特殊装置或场所的要求——医疗场所》GB16895.24-2005中针对医疗场所中1类场所和2类场所间接接触保护的相关条款确定的。一般场所间接接触保护电压交流不超过50V，而在医疗场所考虑患者安全，1类及2类场所医疗电气装置的部件与患者有接触，因此间接接触保护电压也降低到25V以下。而TN、IT系统最大分断时间也都有所减小。</w:t>
      </w:r>
      <w:r>
        <w:rPr>
          <w:rFonts w:hint="eastAsia" w:asciiTheme="minorEastAsia" w:hAnsiTheme="minorEastAsia"/>
          <w:snapToGrid w:val="0"/>
          <w:spacing w:val="8"/>
          <w:kern w:val="0"/>
          <w:u w:val="single"/>
        </w:rPr>
        <w:t>本条文所述为医疗场所不能因防止电击而进行断路器或</w:t>
      </w:r>
      <w:r>
        <w:rPr>
          <w:rFonts w:asciiTheme="minorEastAsia" w:hAnsiTheme="minorEastAsia"/>
          <w:snapToGrid w:val="0"/>
          <w:spacing w:val="8"/>
          <w:kern w:val="0"/>
          <w:u w:val="single"/>
        </w:rPr>
        <w:t>RCD</w:t>
      </w:r>
      <w:r>
        <w:rPr>
          <w:rFonts w:hint="eastAsia" w:asciiTheme="minorEastAsia" w:hAnsiTheme="minorEastAsia"/>
          <w:snapToGrid w:val="0"/>
          <w:spacing w:val="8"/>
          <w:kern w:val="0"/>
          <w:u w:val="single"/>
        </w:rPr>
        <w:t>动作时，可以采用交流</w:t>
      </w:r>
      <w:r>
        <w:rPr>
          <w:rFonts w:asciiTheme="minorEastAsia" w:hAnsiTheme="minorEastAsia"/>
          <w:snapToGrid w:val="0"/>
          <w:spacing w:val="8"/>
          <w:kern w:val="0"/>
          <w:u w:val="single"/>
        </w:rPr>
        <w:t>25V</w:t>
      </w:r>
      <w:r>
        <w:rPr>
          <w:rFonts w:hint="eastAsia" w:asciiTheme="minorEastAsia" w:hAnsiTheme="minorEastAsia"/>
          <w:snapToGrid w:val="0"/>
          <w:spacing w:val="8"/>
          <w:kern w:val="0"/>
          <w:u w:val="single"/>
        </w:rPr>
        <w:t>，直流</w:t>
      </w:r>
      <w:r>
        <w:rPr>
          <w:rFonts w:asciiTheme="minorEastAsia" w:hAnsiTheme="minorEastAsia"/>
          <w:snapToGrid w:val="0"/>
          <w:spacing w:val="8"/>
          <w:kern w:val="0"/>
          <w:u w:val="single"/>
        </w:rPr>
        <w:t>60V</w:t>
      </w:r>
      <w:r>
        <w:rPr>
          <w:rFonts w:hint="eastAsia" w:asciiTheme="minorEastAsia" w:hAnsiTheme="minorEastAsia"/>
          <w:snapToGrid w:val="0"/>
          <w:spacing w:val="8"/>
          <w:kern w:val="0"/>
          <w:u w:val="single"/>
        </w:rPr>
        <w:t>以下的电压供电。</w:t>
      </w:r>
    </w:p>
    <w:p w14:paraId="66A034FF">
      <w:pPr>
        <w:spacing w:before="312" w:beforeLines="100"/>
        <w:rPr>
          <w:rFonts w:cs="宋体" w:asciiTheme="minorEastAsia" w:hAnsiTheme="minorEastAsia"/>
          <w:bCs/>
          <w:bdr w:val="single" w:color="auto" w:sz="4" w:space="0"/>
        </w:rPr>
      </w:pPr>
      <w:r>
        <w:rPr>
          <w:rFonts w:cs="宋体" w:asciiTheme="minorEastAsia" w:hAnsiTheme="minorEastAsia"/>
          <w:bCs/>
        </w:rPr>
        <w:t xml:space="preserve">8.3.5 </w:t>
      </w:r>
      <w:r>
        <w:rPr>
          <w:rFonts w:hint="eastAsia" w:cs="宋体" w:asciiTheme="minorEastAsia" w:hAnsiTheme="minorEastAsia"/>
          <w:bCs/>
        </w:rPr>
        <w:t>本条为强制性条文，必须严格执行。</w:t>
      </w:r>
      <w:r>
        <w:rPr>
          <w:rFonts w:hint="eastAsia" w:cs="宋体" w:asciiTheme="minorEastAsia" w:hAnsiTheme="minorEastAsia"/>
          <w:bCs/>
          <w:bdr w:val="single" w:color="auto" w:sz="4" w:space="0"/>
        </w:rPr>
        <w:t>根据《建筑物电气装置第</w:t>
      </w:r>
      <w:r>
        <w:rPr>
          <w:rFonts w:cs="宋体" w:asciiTheme="minorEastAsia" w:hAnsiTheme="minorEastAsia"/>
          <w:bCs/>
          <w:bdr w:val="single" w:color="auto" w:sz="4" w:space="0"/>
        </w:rPr>
        <w:t>7-710</w:t>
      </w:r>
      <w:r>
        <w:rPr>
          <w:rFonts w:hint="eastAsia" w:cs="宋体" w:asciiTheme="minorEastAsia" w:hAnsiTheme="minorEastAsia"/>
          <w:bCs/>
          <w:bdr w:val="single" w:color="auto" w:sz="4" w:space="0"/>
        </w:rPr>
        <w:t>部分：特殊装置或场所的要求——医疗场所》</w:t>
      </w:r>
      <w:r>
        <w:rPr>
          <w:rFonts w:cs="宋体" w:asciiTheme="minorEastAsia" w:hAnsiTheme="minorEastAsia"/>
          <w:bCs/>
          <w:bdr w:val="single" w:color="auto" w:sz="4" w:space="0"/>
        </w:rPr>
        <w:t>GB16895.24-2005</w:t>
      </w:r>
      <w:r>
        <w:rPr>
          <w:rFonts w:hint="eastAsia" w:cs="宋体" w:asciiTheme="minorEastAsia" w:hAnsiTheme="minorEastAsia"/>
          <w:bCs/>
          <w:bdr w:val="single" w:color="auto" w:sz="4" w:space="0"/>
        </w:rPr>
        <w:t>中关于医用</w:t>
      </w:r>
      <w:r>
        <w:rPr>
          <w:rFonts w:cs="宋体" w:asciiTheme="minorEastAsia" w:hAnsiTheme="minorEastAsia"/>
          <w:bCs/>
          <w:bdr w:val="single" w:color="auto" w:sz="4" w:space="0"/>
        </w:rPr>
        <w:t>IT</w:t>
      </w:r>
      <w:r>
        <w:rPr>
          <w:rFonts w:hint="eastAsia" w:cs="宋体" w:asciiTheme="minorEastAsia" w:hAnsiTheme="minorEastAsia"/>
          <w:bCs/>
          <w:bdr w:val="single" w:color="auto" w:sz="4" w:space="0"/>
        </w:rPr>
        <w:t>系统的应用范围相关条款确定的。按</w:t>
      </w:r>
      <w:r>
        <w:rPr>
          <w:rFonts w:cs="宋体" w:asciiTheme="minorEastAsia" w:hAnsiTheme="minorEastAsia"/>
          <w:bCs/>
          <w:bdr w:val="single" w:color="auto" w:sz="4" w:space="0"/>
        </w:rPr>
        <w:t>IEC</w:t>
      </w:r>
      <w:r>
        <w:rPr>
          <w:rFonts w:hint="eastAsia" w:cs="宋体" w:asciiTheme="minorEastAsia" w:hAnsiTheme="minorEastAsia"/>
          <w:bCs/>
          <w:bdr w:val="single" w:color="auto" w:sz="4" w:space="0"/>
        </w:rPr>
        <w:t>标准，进行心脏手术的医疗电气设备的正常泄露不得大于</w:t>
      </w:r>
      <w:r>
        <w:rPr>
          <w:rFonts w:cs="宋体" w:asciiTheme="minorEastAsia" w:hAnsiTheme="minorEastAsia"/>
          <w:bCs/>
          <w:bdr w:val="single" w:color="auto" w:sz="4" w:space="0"/>
        </w:rPr>
        <w:t>10μA</w:t>
      </w:r>
      <w:r>
        <w:rPr>
          <w:rFonts w:hint="eastAsia" w:cs="宋体" w:asciiTheme="minorEastAsia" w:hAnsiTheme="minorEastAsia"/>
          <w:bCs/>
          <w:bdr w:val="single" w:color="auto" w:sz="4" w:space="0"/>
        </w:rPr>
        <w:t>；当发生一个接地故障时，其故障电流不得大于</w:t>
      </w:r>
      <w:r>
        <w:rPr>
          <w:rFonts w:cs="宋体" w:asciiTheme="minorEastAsia" w:hAnsiTheme="minorEastAsia"/>
          <w:bCs/>
          <w:bdr w:val="single" w:color="auto" w:sz="4" w:space="0"/>
        </w:rPr>
        <w:t>50μA</w:t>
      </w:r>
      <w:r>
        <w:rPr>
          <w:rFonts w:hint="eastAsia" w:cs="宋体" w:asciiTheme="minorEastAsia" w:hAnsiTheme="minorEastAsia"/>
          <w:bCs/>
          <w:bdr w:val="single" w:color="auto" w:sz="4" w:space="0"/>
        </w:rPr>
        <w:t>。因为通过人体心脏的电流如果超过</w:t>
      </w:r>
      <w:r>
        <w:rPr>
          <w:rFonts w:cs="宋体" w:asciiTheme="minorEastAsia" w:hAnsiTheme="minorEastAsia"/>
          <w:bCs/>
          <w:bdr w:val="single" w:color="auto" w:sz="4" w:space="0"/>
        </w:rPr>
        <w:t>50μA</w:t>
      </w:r>
      <w:r>
        <w:rPr>
          <w:rFonts w:hint="eastAsia" w:cs="宋体" w:asciiTheme="minorEastAsia" w:hAnsiTheme="minorEastAsia"/>
          <w:bCs/>
          <w:bdr w:val="single" w:color="auto" w:sz="4" w:space="0"/>
        </w:rPr>
        <w:t>，就可以导致微电击致死。采用IT系统，通过隔离变压器二次回路导体不接地，电气设备外露可导电部分接到电气装置的PE线上，并设置辅助等电位连结。当出现接地故障时，故障电流仅为流过自隔离变压器到手术设备之间一小段非故障线段极小的对地的电容电流。因此故障时可以不切断电源，使电气设备继续运行，并可通过报警装置及检查消除故障，大大提高了系统供电的可靠性。</w:t>
      </w:r>
    </w:p>
    <w:p w14:paraId="2B1E082F">
      <w:pPr>
        <w:ind w:firstLine="480" w:firstLineChars="200"/>
        <w:rPr>
          <w:rFonts w:cs="宋体" w:asciiTheme="minorEastAsia" w:hAnsiTheme="minorEastAsia"/>
          <w:bCs/>
        </w:rPr>
      </w:pPr>
      <w:r>
        <w:rPr>
          <w:rFonts w:hint="eastAsia" w:cs="宋体" w:asciiTheme="minorEastAsia" w:hAnsiTheme="minorEastAsia"/>
          <w:bCs/>
        </w:rPr>
        <w:t>采用医用IT系统的意义，既保证直接接触患者心脏的电气设备回路不产生微电击，同时保证生命支持系统的电气设备持续供电。从IEC相关标准历年讨论稿的演变过程可以看出医用IT系统的双重作用。</w:t>
      </w:r>
    </w:p>
    <w:p w14:paraId="3A2CBBFB">
      <w:pPr>
        <w:ind w:firstLine="480" w:firstLineChars="200"/>
        <w:rPr>
          <w:rFonts w:cs="宋体" w:asciiTheme="minorEastAsia" w:hAnsiTheme="minorEastAsia"/>
          <w:bCs/>
        </w:rPr>
      </w:pPr>
      <w:r>
        <w:rPr>
          <w:rFonts w:hint="eastAsia" w:cs="宋体" w:asciiTheme="minorEastAsia" w:hAnsiTheme="minorEastAsia"/>
          <w:bCs/>
        </w:rPr>
        <w:t>多个功能房间，至少安装</w:t>
      </w:r>
      <w:r>
        <w:rPr>
          <w:rFonts w:cs="宋体" w:asciiTheme="minorEastAsia" w:hAnsiTheme="minorEastAsia"/>
          <w:bCs/>
        </w:rPr>
        <w:t>1</w:t>
      </w:r>
      <w:r>
        <w:rPr>
          <w:rFonts w:hint="eastAsia" w:cs="宋体" w:asciiTheme="minorEastAsia" w:hAnsiTheme="minorEastAsia"/>
          <w:bCs/>
        </w:rPr>
        <w:t>个医用</w:t>
      </w:r>
      <w:r>
        <w:rPr>
          <w:rFonts w:cs="宋体" w:asciiTheme="minorEastAsia" w:hAnsiTheme="minorEastAsia"/>
          <w:bCs/>
        </w:rPr>
        <w:t>IT</w:t>
      </w:r>
      <w:r>
        <w:rPr>
          <w:rFonts w:hint="eastAsia" w:cs="宋体" w:asciiTheme="minorEastAsia" w:hAnsiTheme="minorEastAsia"/>
          <w:bCs/>
        </w:rPr>
        <w:t>系统，主要指多个单间</w:t>
      </w:r>
      <w:r>
        <w:rPr>
          <w:rFonts w:cs="宋体" w:asciiTheme="minorEastAsia" w:hAnsiTheme="minorEastAsia"/>
          <w:bCs/>
        </w:rPr>
        <w:t>ICU</w:t>
      </w:r>
      <w:r>
        <w:rPr>
          <w:rFonts w:hint="eastAsia" w:cs="宋体" w:asciiTheme="minorEastAsia" w:hAnsiTheme="minorEastAsia"/>
          <w:bCs/>
        </w:rPr>
        <w:t>病房可公用一套医用</w:t>
      </w:r>
      <w:r>
        <w:rPr>
          <w:rFonts w:cs="宋体" w:asciiTheme="minorEastAsia" w:hAnsiTheme="minorEastAsia"/>
          <w:bCs/>
        </w:rPr>
        <w:t>IT</w:t>
      </w:r>
      <w:r>
        <w:rPr>
          <w:rFonts w:hint="eastAsia" w:cs="宋体" w:asciiTheme="minorEastAsia" w:hAnsiTheme="minorEastAsia"/>
          <w:bCs/>
        </w:rPr>
        <w:t>系统；当大型</w:t>
      </w:r>
      <w:r>
        <w:rPr>
          <w:rFonts w:cs="宋体" w:asciiTheme="minorEastAsia" w:hAnsiTheme="minorEastAsia"/>
          <w:bCs/>
        </w:rPr>
        <w:t>ICU</w:t>
      </w:r>
      <w:r>
        <w:rPr>
          <w:rFonts w:hint="eastAsia" w:cs="宋体" w:asciiTheme="minorEastAsia" w:hAnsiTheme="minorEastAsia"/>
          <w:bCs/>
        </w:rPr>
        <w:t>集中设置病床时，可根据负荷需要设置多台医用</w:t>
      </w:r>
      <w:r>
        <w:rPr>
          <w:rFonts w:cs="宋体" w:asciiTheme="minorEastAsia" w:hAnsiTheme="minorEastAsia"/>
          <w:bCs/>
        </w:rPr>
        <w:t>IT</w:t>
      </w:r>
      <w:r>
        <w:rPr>
          <w:rFonts w:hint="eastAsia" w:cs="宋体" w:asciiTheme="minorEastAsia" w:hAnsiTheme="minorEastAsia"/>
          <w:bCs/>
        </w:rPr>
        <w:t>系统。</w:t>
      </w:r>
    </w:p>
    <w:p w14:paraId="61345BE8">
      <w:pPr>
        <w:ind w:firstLine="480" w:firstLineChars="200"/>
        <w:rPr>
          <w:rFonts w:cs="宋体" w:asciiTheme="minorEastAsia" w:hAnsiTheme="minorEastAsia"/>
          <w:bCs/>
          <w:u w:val="single"/>
        </w:rPr>
      </w:pPr>
      <w:r>
        <w:rPr>
          <w:rFonts w:hint="eastAsia" w:cs="宋体" w:asciiTheme="minorEastAsia" w:hAnsiTheme="minorEastAsia"/>
          <w:bCs/>
          <w:u w:val="single"/>
        </w:rPr>
        <w:t>医用绝缘监视器已经出台相关产品规范，产品要求本规范不再赘述。</w:t>
      </w:r>
    </w:p>
    <w:p w14:paraId="30B6B750">
      <w:pPr>
        <w:ind w:firstLine="480" w:firstLineChars="200"/>
        <w:rPr>
          <w:rFonts w:cs="宋体" w:asciiTheme="minorEastAsia" w:hAnsiTheme="minorEastAsia"/>
          <w:bCs/>
          <w:u w:val="single"/>
        </w:rPr>
      </w:pPr>
      <w:r>
        <w:rPr>
          <w:rFonts w:hint="eastAsia" w:cs="宋体" w:asciiTheme="minorEastAsia" w:hAnsiTheme="minorEastAsia"/>
          <w:bCs/>
          <w:u w:val="single"/>
        </w:rPr>
        <w:t>进一步明确医用</w:t>
      </w:r>
      <w:r>
        <w:rPr>
          <w:rFonts w:cs="宋体" w:asciiTheme="minorEastAsia" w:hAnsiTheme="minorEastAsia"/>
          <w:bCs/>
          <w:u w:val="single"/>
        </w:rPr>
        <w:t>IT</w:t>
      </w:r>
      <w:r>
        <w:rPr>
          <w:rFonts w:hint="eastAsia" w:cs="宋体" w:asciiTheme="minorEastAsia" w:hAnsiTheme="minorEastAsia"/>
          <w:bCs/>
          <w:u w:val="single"/>
        </w:rPr>
        <w:t>系统不得使用剩余电流保护器（</w:t>
      </w:r>
      <w:r>
        <w:rPr>
          <w:rFonts w:cs="宋体" w:asciiTheme="minorEastAsia" w:hAnsiTheme="minorEastAsia"/>
          <w:bCs/>
          <w:u w:val="single"/>
        </w:rPr>
        <w:t>RCD</w:t>
      </w:r>
      <w:r>
        <w:rPr>
          <w:rFonts w:hint="eastAsia" w:cs="宋体" w:asciiTheme="minorEastAsia" w:hAnsiTheme="minorEastAsia"/>
          <w:bCs/>
          <w:u w:val="single"/>
        </w:rPr>
        <w:t>）作为附加保护措施。</w:t>
      </w:r>
    </w:p>
    <w:p w14:paraId="6CA33E58">
      <w:pPr>
        <w:ind w:firstLine="480" w:firstLineChars="200"/>
        <w:rPr>
          <w:rFonts w:cs="宋体" w:asciiTheme="minorEastAsia" w:hAnsiTheme="minorEastAsia"/>
          <w:bCs/>
          <w:u w:val="single"/>
        </w:rPr>
      </w:pPr>
      <w:r>
        <w:rPr>
          <w:rFonts w:hint="eastAsia" w:cs="宋体" w:asciiTheme="minorEastAsia" w:hAnsiTheme="minorEastAsia"/>
          <w:bCs/>
          <w:u w:val="single"/>
        </w:rPr>
        <w:t>医用</w:t>
      </w:r>
      <w:r>
        <w:rPr>
          <w:rFonts w:cs="宋体" w:asciiTheme="minorEastAsia" w:hAnsiTheme="minorEastAsia"/>
          <w:bCs/>
          <w:u w:val="single"/>
        </w:rPr>
        <w:t>IT</w:t>
      </w:r>
      <w:r>
        <w:rPr>
          <w:rFonts w:hint="eastAsia" w:cs="宋体" w:asciiTheme="minorEastAsia" w:hAnsiTheme="minorEastAsia"/>
          <w:bCs/>
          <w:u w:val="single"/>
        </w:rPr>
        <w:t>系统发生绝缘故障时方便进行故障定位，提高系统维护的效率。</w:t>
      </w:r>
    </w:p>
    <w:p w14:paraId="4D9B9E58">
      <w:pPr>
        <w:ind w:firstLine="480" w:firstLineChars="200"/>
        <w:rPr>
          <w:rFonts w:cs="宋体" w:asciiTheme="minorEastAsia" w:hAnsiTheme="minorEastAsia"/>
          <w:bCs/>
        </w:rPr>
      </w:pPr>
      <w:r>
        <w:rPr>
          <w:rFonts w:hint="eastAsia" w:cs="宋体" w:asciiTheme="minorEastAsia" w:hAnsiTheme="minorEastAsia"/>
          <w:bCs/>
        </w:rPr>
        <w:t>“患者区域”见图3。</w:t>
      </w:r>
    </w:p>
    <w:p w14:paraId="661670DB">
      <w:pPr>
        <w:spacing w:line="240" w:lineRule="auto"/>
        <w:jc w:val="center"/>
        <w:rPr>
          <w:rFonts w:asciiTheme="minorEastAsia" w:hAnsiTheme="minorEastAsia"/>
          <w:sz w:val="21"/>
          <w:szCs w:val="22"/>
        </w:rPr>
      </w:pPr>
      <w:r>
        <w:rPr>
          <w:rFonts w:asciiTheme="minorEastAsia" w:hAnsiTheme="minorEastAsia"/>
          <w:sz w:val="21"/>
          <w:szCs w:val="22"/>
        </w:rPr>
        <w:drawing>
          <wp:inline distT="0" distB="0" distL="0" distR="0">
            <wp:extent cx="3587750" cy="38392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609901" cy="3863302"/>
                    </a:xfrm>
                    <a:prstGeom prst="rect">
                      <a:avLst/>
                    </a:prstGeom>
                    <a:noFill/>
                    <a:ln>
                      <a:noFill/>
                    </a:ln>
                  </pic:spPr>
                </pic:pic>
              </a:graphicData>
            </a:graphic>
          </wp:inline>
        </w:drawing>
      </w:r>
    </w:p>
    <w:p w14:paraId="05F46810">
      <w:pPr>
        <w:spacing w:after="156" w:afterLines="50"/>
        <w:jc w:val="center"/>
        <w:rPr>
          <w:rFonts w:cs="宋体" w:asciiTheme="minorEastAsia" w:hAnsiTheme="minorEastAsia"/>
          <w:b/>
          <w:bCs/>
          <w:sz w:val="22"/>
          <w:u w:val="single"/>
        </w:rPr>
      </w:pPr>
      <w:r>
        <w:rPr>
          <w:rFonts w:hint="eastAsia" w:cs="宋体" w:asciiTheme="minorEastAsia" w:hAnsiTheme="minorEastAsia"/>
          <w:b/>
          <w:bCs/>
          <w:sz w:val="22"/>
          <w:u w:val="single"/>
        </w:rPr>
        <w:t>图</w:t>
      </w:r>
      <w:r>
        <w:rPr>
          <w:rFonts w:cs="宋体" w:asciiTheme="minorEastAsia" w:hAnsiTheme="minorEastAsia"/>
          <w:b/>
          <w:bCs/>
          <w:sz w:val="22"/>
          <w:u w:val="single"/>
        </w:rPr>
        <w:t>3 “</w:t>
      </w:r>
      <w:r>
        <w:rPr>
          <w:rFonts w:hint="eastAsia" w:cs="宋体" w:asciiTheme="minorEastAsia" w:hAnsiTheme="minorEastAsia"/>
          <w:b/>
          <w:bCs/>
          <w:sz w:val="22"/>
          <w:u w:val="single"/>
        </w:rPr>
        <w:t>患者区域”示意图</w:t>
      </w:r>
    </w:p>
    <w:p w14:paraId="0C48F3E0">
      <w:pPr>
        <w:ind w:left="120" w:leftChars="50" w:right="120" w:rightChars="50" w:firstLine="440" w:firstLineChars="200"/>
        <w:jc w:val="left"/>
        <w:rPr>
          <w:rFonts w:cs="宋体" w:asciiTheme="minorEastAsia" w:hAnsiTheme="minorEastAsia"/>
          <w:bCs/>
          <w:sz w:val="22"/>
          <w:u w:val="single"/>
        </w:rPr>
      </w:pPr>
      <w:r>
        <w:rPr>
          <w:rFonts w:cs="宋体" w:asciiTheme="minorEastAsia" w:hAnsiTheme="minorEastAsia"/>
          <w:bCs/>
          <w:sz w:val="22"/>
          <w:u w:val="single"/>
        </w:rPr>
        <w:t>注：图示尺寸显示了在自由环境中患者区域的最小范围。</w:t>
      </w:r>
      <w:r>
        <w:rPr>
          <w:rFonts w:hint="eastAsia" w:cs="宋体" w:asciiTheme="minorEastAsia" w:hAnsiTheme="minorEastAsia"/>
          <w:bCs/>
          <w:sz w:val="22"/>
          <w:u w:val="single"/>
        </w:rPr>
        <w:t>引自</w:t>
      </w:r>
      <w:r>
        <w:rPr>
          <w:rFonts w:cs="宋体" w:asciiTheme="minorEastAsia" w:hAnsiTheme="minorEastAsia"/>
          <w:bCs/>
          <w:sz w:val="22"/>
          <w:u w:val="single"/>
        </w:rPr>
        <w:t>IEC60364-7-710：2020</w:t>
      </w:r>
      <w:r>
        <w:rPr>
          <w:rFonts w:hint="eastAsia" w:cs="宋体" w:asciiTheme="minorEastAsia" w:hAnsiTheme="minorEastAsia"/>
          <w:bCs/>
          <w:sz w:val="22"/>
          <w:u w:val="single"/>
        </w:rPr>
        <w:t>。</w:t>
      </w:r>
    </w:p>
    <w:p w14:paraId="576EA707">
      <w:pPr>
        <w:spacing w:before="312" w:beforeLines="100"/>
        <w:rPr>
          <w:rFonts w:cs="宋体" w:asciiTheme="minorEastAsia" w:hAnsiTheme="minorEastAsia"/>
          <w:bCs/>
        </w:rPr>
      </w:pPr>
      <w:r>
        <w:rPr>
          <w:rFonts w:cs="宋体" w:asciiTheme="minorEastAsia" w:hAnsiTheme="minorEastAsia"/>
          <w:bCs/>
        </w:rPr>
        <w:t xml:space="preserve">8.3.7 </w:t>
      </w:r>
      <w:r>
        <w:rPr>
          <w:rFonts w:hint="eastAsia" w:cs="宋体" w:asciiTheme="minorEastAsia" w:hAnsiTheme="minorEastAsia"/>
          <w:bCs/>
        </w:rPr>
        <w:t>根据</w:t>
      </w:r>
      <w:r>
        <w:rPr>
          <w:rFonts w:hint="eastAsia" w:cs="宋体" w:asciiTheme="minorEastAsia" w:hAnsiTheme="minorEastAsia"/>
          <w:bCs/>
          <w:bdr w:val="single" w:color="auto" w:sz="4" w:space="0"/>
        </w:rPr>
        <w:t>《建筑物电气装置第</w:t>
      </w:r>
      <w:r>
        <w:rPr>
          <w:rFonts w:cs="宋体" w:asciiTheme="minorEastAsia" w:hAnsiTheme="minorEastAsia"/>
          <w:bCs/>
          <w:bdr w:val="single" w:color="auto" w:sz="4" w:space="0"/>
        </w:rPr>
        <w:t>7-710</w:t>
      </w:r>
      <w:r>
        <w:rPr>
          <w:rFonts w:hint="eastAsia" w:cs="宋体" w:asciiTheme="minorEastAsia" w:hAnsiTheme="minorEastAsia"/>
          <w:bCs/>
          <w:bdr w:val="single" w:color="auto" w:sz="4" w:space="0"/>
        </w:rPr>
        <w:t>部分：特殊装置或场所的要求——医疗场所》</w:t>
      </w:r>
      <w:r>
        <w:rPr>
          <w:rFonts w:cs="宋体" w:asciiTheme="minorEastAsia" w:hAnsiTheme="minorEastAsia"/>
          <w:bCs/>
          <w:bdr w:val="single" w:color="auto" w:sz="4" w:space="0"/>
        </w:rPr>
        <w:t>GB16895.24-2005</w:t>
      </w:r>
      <w:r>
        <w:rPr>
          <w:rFonts w:hint="eastAsia" w:cs="宋体" w:asciiTheme="minorEastAsia" w:hAnsiTheme="minorEastAsia"/>
          <w:bCs/>
          <w:bdr w:val="single" w:color="auto" w:sz="4" w:space="0"/>
        </w:rPr>
        <w:t>中关于</w:t>
      </w:r>
      <w:r>
        <w:rPr>
          <w:rFonts w:cs="宋体" w:asciiTheme="minorEastAsia" w:hAnsiTheme="minorEastAsia"/>
          <w:bCs/>
          <w:bdr w:val="single" w:color="auto" w:sz="4" w:space="0"/>
        </w:rPr>
        <w:t>2</w:t>
      </w:r>
      <w:r>
        <w:rPr>
          <w:rFonts w:hint="eastAsia" w:cs="宋体" w:asciiTheme="minorEastAsia" w:hAnsiTheme="minorEastAsia"/>
          <w:bCs/>
          <w:bdr w:val="single" w:color="auto" w:sz="4" w:space="0"/>
        </w:rPr>
        <w:t>类场所辅助等电位联结的相关条款确定的</w:t>
      </w:r>
      <w:r>
        <w:rPr>
          <w:rFonts w:hint="eastAsia" w:cs="宋体" w:asciiTheme="minorEastAsia" w:hAnsiTheme="minorEastAsia"/>
          <w:bCs/>
          <w:u w:val="single"/>
        </w:rPr>
        <w:t>IEC60364-710最新出版物增加了1类医疗场所辅助医用等电位电阻要求</w:t>
      </w:r>
      <w:r>
        <w:rPr>
          <w:rFonts w:hint="eastAsia" w:cs="宋体" w:asciiTheme="minorEastAsia" w:hAnsiTheme="minorEastAsia"/>
          <w:bCs/>
        </w:rPr>
        <w:t>。</w:t>
      </w:r>
    </w:p>
    <w:p w14:paraId="2343D57F">
      <w:pPr>
        <w:spacing w:before="312" w:beforeLines="100" w:after="156" w:afterLines="50"/>
        <w:jc w:val="center"/>
        <w:outlineLvl w:val="2"/>
        <w:rPr>
          <w:rFonts w:asciiTheme="minorEastAsia" w:hAnsiTheme="minorEastAsia"/>
          <w:b/>
          <w:bCs/>
          <w:sz w:val="28"/>
          <w:szCs w:val="28"/>
        </w:rPr>
      </w:pPr>
      <w:bookmarkStart w:id="87" w:name="_Toc374793290"/>
      <w:bookmarkStart w:id="88" w:name="_Toc85880770"/>
      <w:r>
        <w:rPr>
          <w:rFonts w:asciiTheme="minorEastAsia" w:hAnsiTheme="minorEastAsia"/>
          <w:b/>
          <w:bCs/>
          <w:sz w:val="28"/>
          <w:szCs w:val="28"/>
        </w:rPr>
        <w:t>8.4 电气设备的选择与安装</w:t>
      </w:r>
      <w:bookmarkEnd w:id="87"/>
      <w:bookmarkEnd w:id="88"/>
    </w:p>
    <w:p w14:paraId="77EB683C">
      <w:pPr>
        <w:spacing w:before="312" w:beforeLines="100"/>
        <w:rPr>
          <w:rFonts w:asciiTheme="minorEastAsia" w:hAnsiTheme="minorEastAsia"/>
          <w:iCs/>
          <w:szCs w:val="21"/>
        </w:rPr>
      </w:pPr>
      <w:r>
        <w:rPr>
          <w:rFonts w:asciiTheme="minorEastAsia" w:hAnsiTheme="minorEastAsia"/>
          <w:snapToGrid w:val="0"/>
          <w:spacing w:val="8"/>
          <w:kern w:val="0"/>
          <w:szCs w:val="21"/>
        </w:rPr>
        <w:t>8.4.1</w:t>
      </w:r>
      <w:r>
        <w:rPr>
          <w:rFonts w:asciiTheme="minorEastAsia" w:hAnsiTheme="minorEastAsia"/>
          <w:szCs w:val="21"/>
        </w:rPr>
        <w:t xml:space="preserve"> </w:t>
      </w:r>
      <w:r>
        <w:rPr>
          <w:rFonts w:hint="eastAsia" w:asciiTheme="minorEastAsia" w:hAnsiTheme="minorEastAsia"/>
          <w:iCs/>
          <w:szCs w:val="21"/>
        </w:rPr>
        <w:t>医用</w:t>
      </w:r>
      <w:r>
        <w:rPr>
          <w:rFonts w:asciiTheme="minorEastAsia" w:hAnsiTheme="minorEastAsia"/>
          <w:iCs/>
          <w:szCs w:val="21"/>
        </w:rPr>
        <w:t>IT</w:t>
      </w:r>
      <w:r>
        <w:rPr>
          <w:rFonts w:hint="eastAsia" w:asciiTheme="minorEastAsia" w:hAnsiTheme="minorEastAsia"/>
          <w:iCs/>
          <w:szCs w:val="21"/>
        </w:rPr>
        <w:t>系统隔离变压器的容量不宜过大，以免供电范围大带来线路长对地电容电流增大造成系统报警。</w:t>
      </w:r>
      <w:r>
        <w:rPr>
          <w:rFonts w:hint="eastAsia" w:asciiTheme="minorEastAsia" w:hAnsiTheme="minorEastAsia"/>
          <w:iCs/>
          <w:szCs w:val="21"/>
          <w:bdr w:val="single" w:color="auto" w:sz="4" w:space="0"/>
        </w:rPr>
        <w:t>《建筑物电气装置第</w:t>
      </w:r>
      <w:r>
        <w:rPr>
          <w:rFonts w:asciiTheme="minorEastAsia" w:hAnsiTheme="minorEastAsia"/>
          <w:iCs/>
          <w:szCs w:val="21"/>
          <w:bdr w:val="single" w:color="auto" w:sz="4" w:space="0"/>
        </w:rPr>
        <w:t>7-710</w:t>
      </w:r>
      <w:r>
        <w:rPr>
          <w:rFonts w:hint="eastAsia" w:asciiTheme="minorEastAsia" w:hAnsiTheme="minorEastAsia"/>
          <w:iCs/>
          <w:szCs w:val="21"/>
          <w:bdr w:val="single" w:color="auto" w:sz="4" w:space="0"/>
        </w:rPr>
        <w:t>部分：特殊装置或场所的要求——医疗场所》</w:t>
      </w:r>
      <w:r>
        <w:rPr>
          <w:rFonts w:asciiTheme="minorEastAsia" w:hAnsiTheme="minorEastAsia"/>
          <w:iCs/>
          <w:szCs w:val="21"/>
          <w:bdr w:val="single" w:color="auto" w:sz="4" w:space="0"/>
        </w:rPr>
        <w:t>GB16895</w:t>
      </w:r>
      <w:r>
        <w:rPr>
          <w:rFonts w:hint="eastAsia" w:asciiTheme="minorEastAsia" w:hAnsiTheme="minorEastAsia"/>
          <w:iCs/>
          <w:szCs w:val="21"/>
          <w:bdr w:val="single" w:color="auto" w:sz="4" w:space="0"/>
        </w:rPr>
        <w:t>.</w:t>
      </w:r>
      <w:r>
        <w:rPr>
          <w:rFonts w:asciiTheme="minorEastAsia" w:hAnsiTheme="minorEastAsia"/>
          <w:iCs/>
          <w:szCs w:val="21"/>
          <w:bdr w:val="single" w:color="auto" w:sz="4" w:space="0"/>
        </w:rPr>
        <w:t>24-2005</w:t>
      </w:r>
      <w:r>
        <w:rPr>
          <w:rFonts w:asciiTheme="minorEastAsia" w:hAnsiTheme="minorEastAsia"/>
          <w:iCs/>
          <w:szCs w:val="21"/>
          <w:u w:val="single"/>
        </w:rPr>
        <w:t>IEC60364-7-710</w:t>
      </w:r>
      <w:r>
        <w:rPr>
          <w:rFonts w:hint="eastAsia" w:asciiTheme="minorEastAsia" w:hAnsiTheme="minorEastAsia"/>
          <w:iCs/>
          <w:szCs w:val="21"/>
          <w:u w:val="single"/>
        </w:rPr>
        <w:t>：</w:t>
      </w:r>
      <w:r>
        <w:rPr>
          <w:rFonts w:asciiTheme="minorEastAsia" w:hAnsiTheme="minorEastAsia"/>
          <w:iCs/>
          <w:szCs w:val="21"/>
          <w:u w:val="single"/>
        </w:rPr>
        <w:t>2020</w:t>
      </w:r>
      <w:r>
        <w:rPr>
          <w:rFonts w:hint="eastAsia" w:asciiTheme="minorEastAsia" w:hAnsiTheme="minorEastAsia"/>
          <w:iCs/>
          <w:szCs w:val="21"/>
        </w:rPr>
        <w:t>中的容量控制在10kV·A以内。欧洲多数国家的标准变压器容量都在8kV·A以下，澳大利亚标准小于4.8kV·A，日本标准小于7.5kV·A。因此本规范建议不超过8kV·A。从目前了解到的情况看，已能够满足大型手术室的容量要求。</w:t>
      </w:r>
    </w:p>
    <w:p w14:paraId="1D0AB751">
      <w:pPr>
        <w:ind w:firstLine="480" w:firstLineChars="200"/>
        <w:rPr>
          <w:rFonts w:cs="宋体" w:asciiTheme="minorEastAsia" w:hAnsiTheme="minorEastAsia"/>
          <w:bCs/>
          <w:sz w:val="32"/>
        </w:rPr>
      </w:pPr>
      <w:r>
        <w:rPr>
          <w:rFonts w:hint="eastAsia" w:asciiTheme="minorEastAsia" w:hAnsiTheme="minorEastAsia"/>
          <w:iCs/>
          <w:szCs w:val="21"/>
          <w:bdr w:val="single" w:color="auto" w:sz="4" w:space="0"/>
        </w:rPr>
        <w:t>医疗</w:t>
      </w:r>
      <w:r>
        <w:rPr>
          <w:rFonts w:asciiTheme="minorEastAsia" w:hAnsiTheme="minorEastAsia"/>
          <w:iCs/>
          <w:szCs w:val="21"/>
          <w:bdr w:val="single" w:color="auto" w:sz="4" w:space="0"/>
        </w:rPr>
        <w:t>IT</w:t>
      </w:r>
      <w:r>
        <w:rPr>
          <w:rFonts w:hint="eastAsia" w:asciiTheme="minorEastAsia" w:hAnsiTheme="minorEastAsia"/>
          <w:iCs/>
          <w:szCs w:val="21"/>
          <w:bdr w:val="single" w:color="auto" w:sz="4" w:space="0"/>
        </w:rPr>
        <w:t>系统隔离变压器应符合国家相关制造标准。</w:t>
      </w:r>
    </w:p>
    <w:p w14:paraId="5CC22FC1">
      <w:pPr>
        <w:spacing w:before="312" w:beforeLines="100"/>
        <w:rPr>
          <w:rFonts w:cs="宋体" w:asciiTheme="minorEastAsia" w:hAnsiTheme="minorEastAsia"/>
          <w:bCs/>
        </w:rPr>
      </w:pPr>
      <w:r>
        <w:rPr>
          <w:rFonts w:asciiTheme="minorEastAsia" w:hAnsiTheme="minorEastAsia"/>
          <w:u w:val="single"/>
        </w:rPr>
        <w:t xml:space="preserve">8.4.1A </w:t>
      </w:r>
      <w:r>
        <w:rPr>
          <w:rFonts w:hint="eastAsia" w:asciiTheme="minorEastAsia" w:hAnsiTheme="minorEastAsia"/>
          <w:u w:val="single"/>
        </w:rPr>
        <w:t>为防止系统线路过长造成对地电容电路增大，明确了I</w:t>
      </w:r>
      <w:r>
        <w:rPr>
          <w:rFonts w:asciiTheme="minorEastAsia" w:hAnsiTheme="minorEastAsia"/>
          <w:u w:val="single"/>
        </w:rPr>
        <w:t>T</w:t>
      </w:r>
      <w:r>
        <w:rPr>
          <w:rFonts w:hint="eastAsia" w:asciiTheme="minorEastAsia" w:hAnsiTheme="minorEastAsia"/>
          <w:u w:val="single"/>
        </w:rPr>
        <w:t>系统的服务半径。</w:t>
      </w:r>
    </w:p>
    <w:p w14:paraId="20AEEF6F">
      <w:pPr>
        <w:spacing w:before="312" w:beforeLines="100"/>
        <w:rPr>
          <w:rFonts w:cs="宋体" w:asciiTheme="minorEastAsia" w:hAnsiTheme="minorEastAsia"/>
          <w:bCs/>
        </w:rPr>
      </w:pPr>
      <w:r>
        <w:rPr>
          <w:rFonts w:asciiTheme="minorEastAsia" w:hAnsiTheme="minorEastAsia"/>
          <w:u w:val="single"/>
        </w:rPr>
        <w:t>8.4.1B 2</w:t>
      </w:r>
      <w:r>
        <w:rPr>
          <w:rFonts w:hint="eastAsia" w:asciiTheme="minorEastAsia" w:hAnsiTheme="minorEastAsia"/>
          <w:u w:val="single"/>
        </w:rPr>
        <w:t>类场所多为净化环境，维修人员不方便进出。但需贴近服务区域，尽量减少线路长度。</w:t>
      </w:r>
    </w:p>
    <w:p w14:paraId="72243383">
      <w:pPr>
        <w:spacing w:before="312" w:beforeLines="100" w:after="156" w:afterLines="50"/>
        <w:ind w:left="120" w:leftChars="50" w:right="120" w:rightChars="50"/>
        <w:jc w:val="center"/>
        <w:outlineLvl w:val="2"/>
        <w:rPr>
          <w:rFonts w:asciiTheme="minorEastAsia" w:hAnsiTheme="minorEastAsia"/>
          <w:b/>
          <w:bCs/>
          <w:sz w:val="28"/>
          <w:szCs w:val="28"/>
        </w:rPr>
      </w:pPr>
      <w:bookmarkStart w:id="89" w:name="_Toc85880771"/>
      <w:bookmarkStart w:id="90" w:name="_Toc374793291"/>
      <w:r>
        <w:rPr>
          <w:rFonts w:asciiTheme="minorEastAsia" w:hAnsiTheme="minorEastAsia"/>
          <w:b/>
          <w:bCs/>
          <w:sz w:val="28"/>
          <w:szCs w:val="28"/>
        </w:rPr>
        <w:t>8.5 安全</w:t>
      </w:r>
      <w:r>
        <w:rPr>
          <w:rFonts w:hint="eastAsia" w:asciiTheme="minorEastAsia" w:hAnsiTheme="minorEastAsia"/>
          <w:b/>
          <w:bCs/>
          <w:sz w:val="28"/>
          <w:szCs w:val="28"/>
          <w:u w:val="single"/>
        </w:rPr>
        <w:t>设施</w:t>
      </w:r>
      <w:r>
        <w:rPr>
          <w:rFonts w:asciiTheme="minorEastAsia" w:hAnsiTheme="minorEastAsia"/>
          <w:b/>
          <w:bCs/>
          <w:sz w:val="28"/>
          <w:szCs w:val="28"/>
        </w:rPr>
        <w:t>电源系统</w:t>
      </w:r>
      <w:bookmarkEnd w:id="89"/>
      <w:bookmarkEnd w:id="90"/>
    </w:p>
    <w:p w14:paraId="289C5319">
      <w:pPr>
        <w:spacing w:before="312" w:beforeLines="100"/>
        <w:rPr>
          <w:rFonts w:asciiTheme="minorEastAsia" w:hAnsiTheme="minorEastAsia"/>
        </w:rPr>
      </w:pPr>
      <w:bookmarkStart w:id="91" w:name="_Toc85880772"/>
      <w:bookmarkStart w:id="92" w:name="_Toc374793292"/>
      <w:r>
        <w:rPr>
          <w:rFonts w:asciiTheme="minorEastAsia" w:hAnsiTheme="minorEastAsia"/>
          <w:bCs/>
          <w:snapToGrid w:val="0"/>
          <w:spacing w:val="8"/>
          <w:kern w:val="0"/>
        </w:rPr>
        <w:t>8.5.1</w:t>
      </w:r>
      <w:r>
        <w:rPr>
          <w:rFonts w:asciiTheme="minorEastAsia" w:hAnsiTheme="minorEastAsia"/>
          <w:b/>
          <w:snapToGrid w:val="0"/>
          <w:spacing w:val="8"/>
          <w:kern w:val="0"/>
        </w:rPr>
        <w:t xml:space="preserve"> </w:t>
      </w:r>
      <w:r>
        <w:rPr>
          <w:rFonts w:asciiTheme="minorEastAsia" w:hAnsiTheme="minorEastAsia"/>
        </w:rPr>
        <w:t>本</w:t>
      </w:r>
      <w:r>
        <w:rPr>
          <w:rFonts w:hint="eastAsia" w:asciiTheme="minorEastAsia" w:hAnsiTheme="minorEastAsia"/>
        </w:rPr>
        <w:t>规范安全电源的要求较以往的规范要求要高。根据恢复供电的时间，确定了三类安全电源</w:t>
      </w:r>
      <w:r>
        <w:rPr>
          <w:rFonts w:asciiTheme="minorEastAsia" w:hAnsiTheme="minorEastAsia"/>
          <w:bCs/>
        </w:rPr>
        <w:t>（IEC原文中称为Safety services）。</w:t>
      </w:r>
      <w:r>
        <w:rPr>
          <w:rFonts w:hint="eastAsia" w:asciiTheme="minorEastAsia" w:hAnsiTheme="minorEastAsia"/>
        </w:rPr>
        <w:t>安全电源切换时间分别为小于或等于0.5s</w:t>
      </w:r>
      <w:r>
        <w:rPr>
          <w:rFonts w:hint="eastAsia" w:asciiTheme="minorEastAsia" w:hAnsiTheme="minorEastAsia"/>
          <w:u w:val="single"/>
        </w:rPr>
        <w:t>的C级</w:t>
      </w:r>
      <w:r>
        <w:rPr>
          <w:rFonts w:asciiTheme="minorEastAsia" w:hAnsiTheme="minorEastAsia"/>
        </w:rPr>
        <w:t>、</w:t>
      </w:r>
      <w:r>
        <w:rPr>
          <w:rFonts w:hint="eastAsia" w:asciiTheme="minorEastAsia" w:hAnsiTheme="minorEastAsia"/>
        </w:rPr>
        <w:t>小于或等于15s</w:t>
      </w:r>
      <w:r>
        <w:rPr>
          <w:rFonts w:hint="eastAsia" w:asciiTheme="minorEastAsia" w:hAnsiTheme="minorEastAsia"/>
          <w:u w:val="single"/>
        </w:rPr>
        <w:t>的E级</w:t>
      </w:r>
      <w:r>
        <w:rPr>
          <w:rFonts w:asciiTheme="minorEastAsia" w:hAnsiTheme="minorEastAsia"/>
        </w:rPr>
        <w:t>、大于15s</w:t>
      </w:r>
      <w:r>
        <w:rPr>
          <w:rFonts w:hint="eastAsia" w:asciiTheme="minorEastAsia" w:hAnsiTheme="minorEastAsia"/>
          <w:u w:val="single"/>
        </w:rPr>
        <w:t>的F级</w:t>
      </w:r>
      <w:r>
        <w:rPr>
          <w:rFonts w:asciiTheme="minorEastAsia" w:hAnsiTheme="minorEastAsia"/>
        </w:rPr>
        <w:t>。</w:t>
      </w:r>
      <w:r>
        <w:rPr>
          <w:rFonts w:hint="eastAsia" w:asciiTheme="minorEastAsia" w:hAnsiTheme="minorEastAsia"/>
        </w:rPr>
        <w:t>其中切换时间大于15s的安全电源所带负荷</w:t>
      </w:r>
      <w:r>
        <w:rPr>
          <w:rFonts w:hint="eastAsia" w:asciiTheme="minorEastAsia" w:hAnsiTheme="minorEastAsia"/>
          <w:bdr w:val="single" w:color="auto" w:sz="4" w:space="0"/>
        </w:rPr>
        <w:t>是本次规范编制中新提出的要求。这些负荷</w:t>
      </w:r>
      <w:r>
        <w:rPr>
          <w:rFonts w:hint="eastAsia" w:asciiTheme="minorEastAsia" w:hAnsiTheme="minorEastAsia"/>
        </w:rPr>
        <w:t>是医院保证各系统正常运行的后勤保证系统</w:t>
      </w:r>
      <w:r>
        <w:rPr>
          <w:rFonts w:asciiTheme="minorEastAsia" w:hAnsiTheme="minorEastAsia"/>
        </w:rPr>
        <w:t>。</w:t>
      </w:r>
    </w:p>
    <w:p w14:paraId="102CB715">
      <w:pPr>
        <w:ind w:firstLine="480" w:firstLineChars="200"/>
        <w:rPr>
          <w:rFonts w:asciiTheme="minorEastAsia" w:hAnsiTheme="minorEastAsia"/>
          <w:u w:val="single"/>
        </w:rPr>
      </w:pPr>
      <w:r>
        <w:rPr>
          <w:rFonts w:hint="eastAsia" w:asciiTheme="minorEastAsia" w:hAnsiTheme="minorEastAsia"/>
          <w:u w:val="single"/>
        </w:rPr>
        <w:t>当设置自备发电机时，C级安全设施电源可维持供电时间1小时。E级、F级安全设施电源维持供电时间3-24小时，主要是根据停电后医院是继续运营还是转移病患而确定的。同时要考虑市电恢复正常的时间。</w:t>
      </w:r>
    </w:p>
    <w:p w14:paraId="1E7861AB">
      <w:pPr>
        <w:ind w:firstLine="480" w:firstLineChars="200"/>
        <w:rPr>
          <w:rFonts w:asciiTheme="minorEastAsia" w:hAnsiTheme="minorEastAsia"/>
          <w:b/>
          <w:sz w:val="21"/>
          <w:szCs w:val="22"/>
        </w:rPr>
      </w:pPr>
      <w:r>
        <w:rPr>
          <w:rFonts w:asciiTheme="minorEastAsia" w:hAnsiTheme="minorEastAsia"/>
        </w:rPr>
        <w:t>关于</w:t>
      </w:r>
      <w:r>
        <w:rPr>
          <w:rFonts w:hint="eastAsia" w:asciiTheme="minorEastAsia" w:hAnsiTheme="minorEastAsia"/>
          <w:u w:val="single"/>
        </w:rPr>
        <w:t>独立</w:t>
      </w:r>
      <w:r>
        <w:rPr>
          <w:rFonts w:asciiTheme="minorEastAsia" w:hAnsiTheme="minorEastAsia"/>
        </w:rPr>
        <w:t>安全</w:t>
      </w:r>
      <w:r>
        <w:rPr>
          <w:rFonts w:hint="eastAsia" w:asciiTheme="minorEastAsia" w:hAnsiTheme="minorEastAsia"/>
          <w:u w:val="single"/>
        </w:rPr>
        <w:t>设施</w:t>
      </w:r>
      <w:r>
        <w:rPr>
          <w:rFonts w:hint="eastAsia" w:asciiTheme="minorEastAsia" w:hAnsiTheme="minorEastAsia"/>
        </w:rPr>
        <w:t>电源是采用第二路市电或自备发电，规范中没有明确的规定，设计者根据项目的具体情况确定。我国幅员辽阔，各医院的规模、标准相差较大。本规范是基本的标准，有条件的医院应在两路市电的基础上设置自备发电</w:t>
      </w:r>
      <w:r>
        <w:rPr>
          <w:rFonts w:asciiTheme="minorEastAsia" w:hAnsiTheme="minorEastAsia"/>
        </w:rPr>
        <w:t>。</w:t>
      </w:r>
    </w:p>
    <w:p w14:paraId="3685B097">
      <w:pPr>
        <w:spacing w:before="312" w:beforeLines="100" w:after="156" w:afterLines="50"/>
        <w:jc w:val="center"/>
        <w:outlineLvl w:val="2"/>
        <w:rPr>
          <w:rFonts w:asciiTheme="minorEastAsia" w:hAnsiTheme="minorEastAsia"/>
          <w:b/>
          <w:bCs/>
          <w:sz w:val="28"/>
          <w:szCs w:val="28"/>
        </w:rPr>
      </w:pPr>
      <w:r>
        <w:rPr>
          <w:rFonts w:asciiTheme="minorEastAsia" w:hAnsiTheme="minorEastAsia"/>
          <w:b/>
          <w:bCs/>
          <w:sz w:val="28"/>
          <w:szCs w:val="28"/>
        </w:rPr>
        <w:t>8.6 照明设计</w:t>
      </w:r>
      <w:bookmarkEnd w:id="91"/>
      <w:bookmarkEnd w:id="92"/>
    </w:p>
    <w:p w14:paraId="41D46081">
      <w:pPr>
        <w:spacing w:before="312" w:beforeLines="100"/>
        <w:rPr>
          <w:rFonts w:cs="宋体" w:asciiTheme="minorEastAsia" w:hAnsiTheme="minorEastAsia"/>
          <w:bCs/>
          <w:highlight w:val="green"/>
        </w:rPr>
      </w:pPr>
      <w:r>
        <w:rPr>
          <w:rFonts w:asciiTheme="minorEastAsia" w:hAnsiTheme="minorEastAsia"/>
          <w:u w:val="single"/>
        </w:rPr>
        <w:t>8.6.</w:t>
      </w:r>
      <w:r>
        <w:rPr>
          <w:rFonts w:hint="eastAsia" w:asciiTheme="minorEastAsia" w:hAnsiTheme="minorEastAsia"/>
          <w:u w:val="single"/>
        </w:rPr>
        <w:t>2</w:t>
      </w:r>
      <w:r>
        <w:rPr>
          <w:rFonts w:asciiTheme="minorEastAsia" w:hAnsiTheme="minorEastAsia"/>
          <w:u w:val="single"/>
        </w:rPr>
        <w:t xml:space="preserve"> </w:t>
      </w:r>
      <w:r>
        <w:rPr>
          <w:rFonts w:hint="eastAsia" w:asciiTheme="minorEastAsia" w:hAnsiTheme="minorEastAsia"/>
          <w:u w:val="single"/>
        </w:rPr>
        <w:t>目前</w:t>
      </w:r>
      <w:r>
        <w:rPr>
          <w:rFonts w:asciiTheme="minorEastAsia" w:hAnsiTheme="minorEastAsia"/>
          <w:u w:val="single"/>
        </w:rPr>
        <w:t>LED</w:t>
      </w:r>
      <w:r>
        <w:rPr>
          <w:rFonts w:hint="eastAsia" w:asciiTheme="minorEastAsia" w:hAnsiTheme="minorEastAsia"/>
          <w:u w:val="single"/>
        </w:rPr>
        <w:t>光源的应用越来越普遍，医院的人员长期停留场所，光源常常在患者视野中，应特别应注意防止蓝光危害。</w:t>
      </w:r>
    </w:p>
    <w:p w14:paraId="57C77B80">
      <w:pPr>
        <w:spacing w:before="312" w:beforeLines="100"/>
        <w:rPr>
          <w:rFonts w:asciiTheme="minorEastAsia" w:hAnsiTheme="minorEastAsia"/>
          <w:bCs/>
        </w:rPr>
      </w:pPr>
      <w:r>
        <w:rPr>
          <w:rFonts w:asciiTheme="minorEastAsia" w:hAnsiTheme="minorEastAsia"/>
          <w:bCs/>
          <w:snapToGrid w:val="0"/>
          <w:spacing w:val="8"/>
          <w:kern w:val="0"/>
        </w:rPr>
        <w:t>8.6.3</w:t>
      </w:r>
      <w:r>
        <w:rPr>
          <w:rFonts w:asciiTheme="minorEastAsia" w:hAnsiTheme="minorEastAsia"/>
          <w:b/>
          <w:snapToGrid w:val="0"/>
          <w:spacing w:val="8"/>
          <w:kern w:val="0"/>
        </w:rPr>
        <w:t xml:space="preserve"> </w:t>
      </w:r>
      <w:r>
        <w:rPr>
          <w:rFonts w:asciiTheme="minorEastAsia" w:hAnsiTheme="minorEastAsia"/>
        </w:rPr>
        <w:t>目前的医疗建筑照明光源</w:t>
      </w:r>
      <w:r>
        <w:rPr>
          <w:rFonts w:hint="eastAsia" w:asciiTheme="minorEastAsia" w:hAnsiTheme="minorEastAsia"/>
          <w:u w:val="single"/>
        </w:rPr>
        <w:t>中</w:t>
      </w:r>
      <w:r>
        <w:rPr>
          <w:rFonts w:asciiTheme="minorEastAsia" w:hAnsiTheme="minorEastAsia"/>
          <w:bdr w:val="single" w:color="auto" w:sz="4" w:space="0"/>
        </w:rPr>
        <w:t>主要是以</w:t>
      </w:r>
      <w:r>
        <w:rPr>
          <w:rFonts w:asciiTheme="minorEastAsia" w:hAnsiTheme="minorEastAsia"/>
        </w:rPr>
        <w:t>荧光灯</w:t>
      </w:r>
      <w:r>
        <w:rPr>
          <w:rFonts w:asciiTheme="minorEastAsia" w:hAnsiTheme="minorEastAsia"/>
          <w:bdr w:val="single" w:color="auto" w:sz="4" w:space="0"/>
        </w:rPr>
        <w:t>为主</w:t>
      </w:r>
      <w:r>
        <w:rPr>
          <w:rFonts w:hint="eastAsia" w:asciiTheme="minorEastAsia" w:hAnsiTheme="minorEastAsia"/>
          <w:bdr w:val="single" w:color="auto" w:sz="4" w:space="0"/>
        </w:rPr>
        <w:t>，</w:t>
      </w:r>
      <w:r>
        <w:rPr>
          <w:rFonts w:hint="eastAsia" w:asciiTheme="minorEastAsia" w:hAnsiTheme="minorEastAsia"/>
        </w:rPr>
        <w:t>应</w:t>
      </w:r>
      <w:r>
        <w:rPr>
          <w:rFonts w:hint="eastAsia" w:asciiTheme="minorEastAsia" w:hAnsiTheme="minorEastAsia"/>
          <w:u w:val="single"/>
        </w:rPr>
        <w:t>仍然占据比较大的比例，</w:t>
      </w:r>
      <w:r>
        <w:rPr>
          <w:rFonts w:asciiTheme="minorEastAsia" w:hAnsiTheme="minorEastAsia"/>
        </w:rPr>
        <w:t>特别注意荧光灯带来的谐波问题对医疗环境的影响</w:t>
      </w:r>
      <w:r>
        <w:rPr>
          <w:rFonts w:asciiTheme="minorEastAsia" w:hAnsiTheme="minorEastAsia"/>
          <w:bCs/>
        </w:rPr>
        <w:t>。</w:t>
      </w:r>
    </w:p>
    <w:p w14:paraId="79101959">
      <w:pPr>
        <w:spacing w:before="312" w:beforeLines="100" w:after="156" w:afterLines="50"/>
        <w:jc w:val="center"/>
        <w:outlineLvl w:val="2"/>
        <w:rPr>
          <w:rFonts w:ascii="宋体" w:hAnsi="宋体" w:eastAsia="宋体"/>
          <w:b/>
          <w:bCs/>
          <w:sz w:val="28"/>
          <w:szCs w:val="28"/>
        </w:rPr>
      </w:pPr>
      <w:r>
        <w:rPr>
          <w:rFonts w:ascii="宋体" w:hAnsi="宋体" w:eastAsia="宋体"/>
          <w:b/>
          <w:bCs/>
          <w:sz w:val="28"/>
          <w:szCs w:val="28"/>
        </w:rPr>
        <w:t>8.7 防雷、接地与电磁兼容</w:t>
      </w:r>
    </w:p>
    <w:p w14:paraId="79A96E74">
      <w:pPr>
        <w:spacing w:before="312" w:beforeLines="100"/>
        <w:rPr>
          <w:rFonts w:cs="宋体" w:asciiTheme="minorEastAsia" w:hAnsiTheme="minorEastAsia"/>
          <w:bCs/>
        </w:rPr>
      </w:pPr>
      <w:r>
        <w:rPr>
          <w:rFonts w:cs="宋体" w:asciiTheme="minorEastAsia" w:hAnsiTheme="minorEastAsia"/>
          <w:bCs/>
        </w:rPr>
        <w:t xml:space="preserve">8.7.3 </w:t>
      </w:r>
      <w:r>
        <w:rPr>
          <w:rFonts w:hint="eastAsia" w:asciiTheme="minorEastAsia" w:hAnsiTheme="minorEastAsia"/>
          <w:u w:val="single"/>
        </w:rPr>
        <w:t>本条文中相关医疗场所设备的电磁干扰限值，大型电机设备、医用</w:t>
      </w:r>
      <w:r>
        <w:rPr>
          <w:rFonts w:asciiTheme="minorEastAsia" w:hAnsiTheme="minorEastAsia"/>
          <w:u w:val="single"/>
        </w:rPr>
        <w:t>IT变压器与</w:t>
      </w:r>
      <w:r>
        <w:rPr>
          <w:rFonts w:hint="eastAsia" w:asciiTheme="minorEastAsia" w:hAnsiTheme="minorEastAsia"/>
          <w:u w:val="single"/>
        </w:rPr>
        <w:t>患者之间的距离，多芯电缆、线路与患者之间的距离等要求参考IEC60364-7-710：2020相关内容。</w:t>
      </w:r>
    </w:p>
    <w:p w14:paraId="73FF538B">
      <w:pPr>
        <w:ind w:firstLine="480" w:firstLineChars="200"/>
        <w:rPr>
          <w:rFonts w:cs="宋体" w:asciiTheme="minorEastAsia" w:hAnsiTheme="minorEastAsia"/>
          <w:bCs/>
        </w:rPr>
      </w:pPr>
      <w:r>
        <w:rPr>
          <w:rFonts w:hint="eastAsia" w:cs="宋体" w:asciiTheme="minorEastAsia" w:hAnsiTheme="minorEastAsia"/>
          <w:bCs/>
        </w:rPr>
        <w:t>为减少感应过电压以及</w:t>
      </w:r>
      <w:r>
        <w:rPr>
          <w:rFonts w:hint="eastAsia" w:cs="宋体" w:asciiTheme="minorEastAsia" w:hAnsiTheme="minorEastAsia"/>
          <w:bCs/>
          <w:bdr w:val="single" w:color="auto" w:sz="4" w:space="0"/>
        </w:rPr>
        <w:t>电磁兼容</w:t>
      </w:r>
      <w:r>
        <w:rPr>
          <w:rFonts w:cs="宋体" w:asciiTheme="minorEastAsia" w:hAnsiTheme="minorEastAsia"/>
          <w:bCs/>
          <w:bdr w:val="single" w:color="auto" w:sz="4" w:space="0"/>
        </w:rPr>
        <w:t>（EMC）</w:t>
      </w:r>
      <w:r>
        <w:rPr>
          <w:rFonts w:asciiTheme="minorEastAsia" w:hAnsiTheme="minorEastAsia"/>
          <w:u w:val="single"/>
        </w:rPr>
        <w:t>EMI</w:t>
      </w:r>
      <w:r>
        <w:rPr>
          <w:rFonts w:hint="eastAsia" w:cs="宋体" w:asciiTheme="minorEastAsia" w:hAnsiTheme="minorEastAsia"/>
          <w:bCs/>
        </w:rPr>
        <w:t>的影响，应考虑如下情况</w:t>
      </w:r>
      <w:r>
        <w:rPr>
          <w:rFonts w:hint="eastAsia" w:asciiTheme="minorEastAsia" w:hAnsiTheme="minorEastAsia"/>
          <w:u w:val="single"/>
        </w:rPr>
        <w:t>及措施</w:t>
      </w:r>
      <w:r>
        <w:rPr>
          <w:rFonts w:hint="eastAsia" w:cs="宋体" w:asciiTheme="minorEastAsia" w:hAnsiTheme="minorEastAsia"/>
          <w:bCs/>
        </w:rPr>
        <w:t>：</w:t>
      </w:r>
    </w:p>
    <w:p w14:paraId="253501FF">
      <w:pPr>
        <w:ind w:firstLine="480" w:firstLineChars="200"/>
        <w:rPr>
          <w:rFonts w:cs="宋体" w:asciiTheme="minorEastAsia" w:hAnsiTheme="minorEastAsia"/>
          <w:bCs/>
        </w:rPr>
      </w:pPr>
      <w:r>
        <w:rPr>
          <w:rFonts w:cs="宋体" w:asciiTheme="minorEastAsia" w:hAnsiTheme="minorEastAsia"/>
          <w:bCs/>
        </w:rPr>
        <w:t>（1）</w:t>
      </w:r>
      <w:r>
        <w:rPr>
          <w:rFonts w:hint="eastAsia" w:cs="宋体" w:asciiTheme="minorEastAsia" w:hAnsiTheme="minorEastAsia"/>
          <w:bCs/>
        </w:rPr>
        <w:t>敏感设备要远离潜在干扰源。如外墙边、建筑物防雷引下线附近。</w:t>
      </w:r>
    </w:p>
    <w:p w14:paraId="7D9A48E8">
      <w:pPr>
        <w:ind w:firstLine="480" w:firstLineChars="200"/>
        <w:rPr>
          <w:rFonts w:cs="宋体" w:asciiTheme="minorEastAsia" w:hAnsiTheme="minorEastAsia"/>
          <w:bCs/>
        </w:rPr>
      </w:pPr>
      <w:r>
        <w:rPr>
          <w:rFonts w:cs="宋体" w:asciiTheme="minorEastAsia" w:hAnsiTheme="minorEastAsia"/>
          <w:bCs/>
        </w:rPr>
        <w:t>（2）</w:t>
      </w:r>
      <w:r>
        <w:rPr>
          <w:rFonts w:hint="eastAsia" w:cs="宋体" w:asciiTheme="minorEastAsia" w:hAnsiTheme="minorEastAsia"/>
          <w:bCs/>
        </w:rPr>
        <w:t>敏感设备要远离大电流母线或设备，如电梯、大型影像设备等。</w:t>
      </w:r>
    </w:p>
    <w:p w14:paraId="22EBF21B">
      <w:pPr>
        <w:ind w:firstLine="480" w:firstLineChars="200"/>
        <w:rPr>
          <w:rFonts w:cs="宋体" w:asciiTheme="minorEastAsia" w:hAnsiTheme="minorEastAsia"/>
          <w:bCs/>
        </w:rPr>
      </w:pPr>
      <w:r>
        <w:rPr>
          <w:rFonts w:cs="宋体" w:asciiTheme="minorEastAsia" w:hAnsiTheme="minorEastAsia"/>
          <w:bCs/>
        </w:rPr>
        <w:t>（3）</w:t>
      </w:r>
      <w:r>
        <w:rPr>
          <w:rFonts w:hint="eastAsia" w:cs="宋体" w:asciiTheme="minorEastAsia" w:hAnsiTheme="minorEastAsia"/>
          <w:bCs/>
        </w:rPr>
        <w:t>敏感设备电源电路中设置滤波器或浪涌保护器</w:t>
      </w:r>
      <w:r>
        <w:rPr>
          <w:rFonts w:cs="宋体" w:asciiTheme="minorEastAsia" w:hAnsiTheme="minorEastAsia"/>
          <w:bCs/>
        </w:rPr>
        <w:t>（SPD）</w:t>
      </w:r>
      <w:r>
        <w:rPr>
          <w:rFonts w:hint="eastAsia" w:cs="宋体" w:asciiTheme="minorEastAsia" w:hAnsiTheme="minorEastAsia"/>
          <w:bCs/>
        </w:rPr>
        <w:t>。</w:t>
      </w:r>
    </w:p>
    <w:p w14:paraId="50B3B92B">
      <w:pPr>
        <w:ind w:firstLine="480" w:firstLineChars="200"/>
        <w:rPr>
          <w:rFonts w:cs="宋体" w:asciiTheme="minorEastAsia" w:hAnsiTheme="minorEastAsia"/>
          <w:bCs/>
        </w:rPr>
      </w:pPr>
      <w:r>
        <w:rPr>
          <w:rFonts w:cs="宋体" w:asciiTheme="minorEastAsia" w:hAnsiTheme="minorEastAsia"/>
          <w:bCs/>
        </w:rPr>
        <w:t>（4）</w:t>
      </w:r>
      <w:r>
        <w:rPr>
          <w:rFonts w:hint="eastAsia" w:cs="宋体" w:asciiTheme="minorEastAsia" w:hAnsiTheme="minorEastAsia"/>
          <w:bCs/>
        </w:rPr>
        <w:t>选用适当延时特性的保护器。</w:t>
      </w:r>
    </w:p>
    <w:p w14:paraId="19D38BC7">
      <w:pPr>
        <w:ind w:firstLine="480" w:firstLineChars="200"/>
        <w:rPr>
          <w:rFonts w:cs="宋体" w:asciiTheme="minorEastAsia" w:hAnsiTheme="minorEastAsia"/>
          <w:bCs/>
        </w:rPr>
      </w:pPr>
      <w:r>
        <w:rPr>
          <w:rFonts w:cs="宋体" w:asciiTheme="minorEastAsia" w:hAnsiTheme="minorEastAsia"/>
          <w:bCs/>
        </w:rPr>
        <w:t>（5）</w:t>
      </w:r>
      <w:r>
        <w:rPr>
          <w:rFonts w:hint="eastAsia" w:cs="宋体" w:asciiTheme="minorEastAsia" w:hAnsiTheme="minorEastAsia"/>
          <w:bCs/>
        </w:rPr>
        <w:t>金属外护物的等电位联结与屏蔽。</w:t>
      </w:r>
    </w:p>
    <w:p w14:paraId="63A60D02">
      <w:pPr>
        <w:ind w:firstLine="480" w:firstLineChars="200"/>
        <w:rPr>
          <w:rFonts w:cs="宋体" w:asciiTheme="minorEastAsia" w:hAnsiTheme="minorEastAsia"/>
          <w:bCs/>
        </w:rPr>
      </w:pPr>
      <w:r>
        <w:rPr>
          <w:rFonts w:cs="宋体" w:asciiTheme="minorEastAsia" w:hAnsiTheme="minorEastAsia"/>
          <w:bCs/>
        </w:rPr>
        <w:t>（6）</w:t>
      </w:r>
      <w:r>
        <w:rPr>
          <w:rFonts w:hint="eastAsia" w:cs="宋体" w:asciiTheme="minorEastAsia" w:hAnsiTheme="minorEastAsia"/>
          <w:bCs/>
        </w:rPr>
        <w:t>电力电缆与信号电缆间充分隔开</w:t>
      </w:r>
      <w:r>
        <w:rPr>
          <w:rFonts w:cs="宋体" w:asciiTheme="minorEastAsia" w:hAnsiTheme="minorEastAsia"/>
          <w:bCs/>
        </w:rPr>
        <w:t>（</w:t>
      </w:r>
      <w:r>
        <w:rPr>
          <w:rFonts w:hint="eastAsia" w:cs="宋体" w:asciiTheme="minorEastAsia" w:hAnsiTheme="minorEastAsia"/>
          <w:bCs/>
        </w:rPr>
        <w:t>大间距或屏蔽</w:t>
      </w:r>
      <w:r>
        <w:rPr>
          <w:rFonts w:cs="宋体" w:asciiTheme="minorEastAsia" w:hAnsiTheme="minorEastAsia"/>
          <w:bCs/>
        </w:rPr>
        <w:t>）</w:t>
      </w:r>
      <w:r>
        <w:rPr>
          <w:rFonts w:hint="eastAsia" w:cs="宋体" w:asciiTheme="minorEastAsia" w:hAnsiTheme="minorEastAsia"/>
          <w:bCs/>
        </w:rPr>
        <w:t>或直角交叉。</w:t>
      </w:r>
    </w:p>
    <w:p w14:paraId="744DFD02">
      <w:pPr>
        <w:ind w:firstLine="480" w:firstLineChars="200"/>
        <w:rPr>
          <w:rFonts w:cs="宋体" w:asciiTheme="minorEastAsia" w:hAnsiTheme="minorEastAsia"/>
          <w:bCs/>
        </w:rPr>
      </w:pPr>
      <w:r>
        <w:rPr>
          <w:rFonts w:cs="宋体" w:asciiTheme="minorEastAsia" w:hAnsiTheme="minorEastAsia"/>
          <w:bCs/>
        </w:rPr>
        <w:t>（7）</w:t>
      </w:r>
      <w:r>
        <w:rPr>
          <w:rFonts w:hint="eastAsia" w:cs="宋体" w:asciiTheme="minorEastAsia" w:hAnsiTheme="minorEastAsia"/>
          <w:bCs/>
        </w:rPr>
        <w:t>电力电缆与建筑物防雷引下线充分隔开</w:t>
      </w:r>
      <w:r>
        <w:rPr>
          <w:rFonts w:cs="宋体" w:asciiTheme="minorEastAsia" w:hAnsiTheme="minorEastAsia"/>
          <w:bCs/>
        </w:rPr>
        <w:t>（</w:t>
      </w:r>
      <w:r>
        <w:rPr>
          <w:rFonts w:hint="eastAsia" w:cs="宋体" w:asciiTheme="minorEastAsia" w:hAnsiTheme="minorEastAsia"/>
          <w:bCs/>
        </w:rPr>
        <w:t>大间距或屏蔽</w:t>
      </w:r>
      <w:r>
        <w:rPr>
          <w:rFonts w:cs="宋体" w:asciiTheme="minorEastAsia" w:hAnsiTheme="minorEastAsia"/>
          <w:bCs/>
        </w:rPr>
        <w:t>）</w:t>
      </w:r>
      <w:r>
        <w:rPr>
          <w:rFonts w:hint="eastAsia" w:cs="宋体" w:asciiTheme="minorEastAsia" w:hAnsiTheme="minorEastAsia"/>
          <w:bCs/>
        </w:rPr>
        <w:t>。</w:t>
      </w:r>
    </w:p>
    <w:p w14:paraId="6EF03C85">
      <w:pPr>
        <w:ind w:firstLine="480" w:firstLineChars="200"/>
        <w:rPr>
          <w:rFonts w:cs="宋体" w:asciiTheme="minorEastAsia" w:hAnsiTheme="minorEastAsia"/>
          <w:bCs/>
        </w:rPr>
      </w:pPr>
      <w:r>
        <w:rPr>
          <w:rFonts w:cs="宋体" w:asciiTheme="minorEastAsia" w:hAnsiTheme="minorEastAsia"/>
          <w:bCs/>
        </w:rPr>
        <w:t>（8）</w:t>
      </w:r>
      <w:r>
        <w:rPr>
          <w:rFonts w:hint="eastAsia" w:cs="宋体" w:asciiTheme="minorEastAsia" w:hAnsiTheme="minorEastAsia"/>
          <w:bCs/>
        </w:rPr>
        <w:t>电缆布线路径避免环路。</w:t>
      </w:r>
    </w:p>
    <w:p w14:paraId="114EB1D5">
      <w:pPr>
        <w:ind w:firstLine="480" w:firstLineChars="200"/>
        <w:rPr>
          <w:rFonts w:cs="宋体" w:asciiTheme="minorEastAsia" w:hAnsiTheme="minorEastAsia"/>
          <w:bCs/>
        </w:rPr>
      </w:pPr>
      <w:r>
        <w:rPr>
          <w:rFonts w:cs="宋体" w:asciiTheme="minorEastAsia" w:hAnsiTheme="minorEastAsia"/>
          <w:bCs/>
        </w:rPr>
        <w:t>（9）</w:t>
      </w:r>
      <w:r>
        <w:rPr>
          <w:rFonts w:hint="eastAsia" w:cs="宋体" w:asciiTheme="minorEastAsia" w:hAnsiTheme="minorEastAsia"/>
          <w:bCs/>
        </w:rPr>
        <w:t>联结的接线尽可能短。</w:t>
      </w:r>
    </w:p>
    <w:p w14:paraId="6E58ABB3">
      <w:pPr>
        <w:spacing w:before="312" w:beforeLines="100"/>
        <w:rPr>
          <w:rFonts w:eastAsia="宋体"/>
          <w:sz w:val="32"/>
          <w:szCs w:val="20"/>
        </w:rPr>
      </w:pPr>
    </w:p>
    <w:p w14:paraId="1AD9C581">
      <w:pPr>
        <w:pageBreakBefore/>
        <w:spacing w:before="100" w:beforeAutospacing="1" w:after="312" w:afterLines="100"/>
        <w:jc w:val="center"/>
        <w:outlineLvl w:val="1"/>
        <w:rPr>
          <w:rFonts w:cs="黑体" w:asciiTheme="minorEastAsia" w:hAnsiTheme="minorEastAsia"/>
          <w:b/>
          <w:spacing w:val="-4"/>
          <w:sz w:val="32"/>
          <w:szCs w:val="28"/>
        </w:rPr>
      </w:pPr>
      <w:r>
        <w:rPr>
          <w:rFonts w:hint="eastAsia" w:cs="黑体" w:asciiTheme="minorEastAsia" w:hAnsiTheme="minorEastAsia"/>
          <w:b/>
          <w:spacing w:val="-4"/>
          <w:sz w:val="32"/>
          <w:szCs w:val="28"/>
        </w:rPr>
        <w:t>9.智能化系统</w:t>
      </w:r>
    </w:p>
    <w:p w14:paraId="2F7A9DD6">
      <w:pPr>
        <w:spacing w:before="312" w:beforeLines="100" w:after="156" w:afterLines="50"/>
        <w:jc w:val="center"/>
        <w:outlineLvl w:val="2"/>
        <w:rPr>
          <w:rFonts w:asciiTheme="minorEastAsia" w:hAnsiTheme="minorEastAsia"/>
          <w:b/>
          <w:bCs/>
          <w:sz w:val="28"/>
          <w:szCs w:val="28"/>
        </w:rPr>
      </w:pPr>
      <w:bookmarkStart w:id="93" w:name="_Toc85880792"/>
      <w:r>
        <w:rPr>
          <w:rFonts w:hint="eastAsia" w:asciiTheme="minorEastAsia" w:hAnsiTheme="minorEastAsia"/>
          <w:b/>
          <w:bCs/>
          <w:sz w:val="28"/>
          <w:szCs w:val="28"/>
        </w:rPr>
        <w:t>9.2 信息设施系统</w:t>
      </w:r>
      <w:bookmarkEnd w:id="93"/>
    </w:p>
    <w:p w14:paraId="0E05E885">
      <w:pPr>
        <w:spacing w:before="312" w:beforeLines="100"/>
        <w:jc w:val="left"/>
        <w:rPr>
          <w:rFonts w:asciiTheme="minorEastAsia" w:hAnsiTheme="minorEastAsia"/>
          <w:kern w:val="0"/>
        </w:rPr>
      </w:pPr>
      <w:r>
        <w:rPr>
          <w:rFonts w:hint="eastAsia" w:asciiTheme="minorEastAsia" w:hAnsiTheme="minorEastAsia"/>
          <w:kern w:val="0"/>
        </w:rPr>
        <w:t xml:space="preserve">9.2.1 </w:t>
      </w:r>
      <w:r>
        <w:rPr>
          <w:rFonts w:hint="eastAsia" w:asciiTheme="minorEastAsia" w:hAnsiTheme="minorEastAsia"/>
          <w:kern w:val="0"/>
          <w:bdr w:val="single" w:color="auto" w:sz="4" w:space="0"/>
        </w:rPr>
        <w:t>通讯</w:t>
      </w:r>
      <w:r>
        <w:rPr>
          <w:rFonts w:hint="eastAsia" w:asciiTheme="minorEastAsia" w:hAnsiTheme="minorEastAsia"/>
          <w:kern w:val="0"/>
          <w:u w:val="single"/>
        </w:rPr>
        <w:t>信息</w:t>
      </w:r>
      <w:r>
        <w:rPr>
          <w:rFonts w:hint="eastAsia" w:asciiTheme="minorEastAsia" w:hAnsiTheme="minorEastAsia"/>
          <w:kern w:val="0"/>
        </w:rPr>
        <w:t>接入的集中设置是为了便于管理和维护。医院采用了综合布线系统，有利于标准化的设计和管理。</w:t>
      </w:r>
    </w:p>
    <w:p w14:paraId="13B5FEA0">
      <w:pPr>
        <w:spacing w:before="312" w:beforeLines="100"/>
        <w:rPr>
          <w:rFonts w:cs="宋体" w:asciiTheme="minorEastAsia" w:hAnsiTheme="minorEastAsia"/>
          <w:bCs/>
          <w:sz w:val="32"/>
          <w:szCs w:val="32"/>
        </w:rPr>
      </w:pPr>
      <w:r>
        <w:rPr>
          <w:rFonts w:hint="eastAsia" w:asciiTheme="minorEastAsia" w:hAnsiTheme="minorEastAsia"/>
          <w:szCs w:val="28"/>
        </w:rPr>
        <w:t>9.2.2 虽然目前我国大部分医院都采用了电信运营商提供的远端模块局的服务方式，但有些医院仍然使用数字电话程控交换机。当采用这种方式提供语音服务时，中继线数量的确定应按</w:t>
      </w:r>
      <w:r>
        <w:rPr>
          <w:rFonts w:hint="eastAsia" w:asciiTheme="minorEastAsia" w:hAnsiTheme="minorEastAsia"/>
          <w:szCs w:val="28"/>
          <w:bdr w:val="single" w:color="auto" w:sz="4" w:space="0"/>
        </w:rPr>
        <w:t>实际话务</w:t>
      </w:r>
      <w:r>
        <w:rPr>
          <w:rFonts w:hint="eastAsia" w:asciiTheme="minorEastAsia" w:hAnsiTheme="minorEastAsia"/>
          <w:szCs w:val="28"/>
          <w:u w:val="single"/>
        </w:rPr>
        <w:t>用户交换机容</w:t>
      </w:r>
      <w:r>
        <w:rPr>
          <w:rFonts w:hint="eastAsia" w:asciiTheme="minorEastAsia" w:hAnsiTheme="minorEastAsia"/>
          <w:szCs w:val="28"/>
        </w:rPr>
        <w:t>量的1/10确定。</w:t>
      </w:r>
    </w:p>
    <w:p w14:paraId="47F5FE77">
      <w:pPr>
        <w:spacing w:before="312" w:beforeLines="100"/>
        <w:rPr>
          <w:rFonts w:cs="宋体" w:asciiTheme="minorEastAsia" w:hAnsiTheme="minorEastAsia"/>
          <w:bCs/>
          <w:sz w:val="32"/>
          <w:szCs w:val="32"/>
        </w:rPr>
      </w:pPr>
      <w:r>
        <w:rPr>
          <w:rFonts w:hint="eastAsia" w:asciiTheme="minorEastAsia" w:hAnsiTheme="minorEastAsia"/>
          <w:szCs w:val="28"/>
        </w:rPr>
        <w:t>9.2.3 本条是为了确保网络的安全所提出的，建议医院采取内部使用的专用网与互联网分开设置的方式。医院内部使用的专用网采用冗余配置的设置，可提高网络的可靠性和安全性。</w:t>
      </w:r>
      <w:r>
        <w:rPr>
          <w:rFonts w:hint="eastAsia" w:asciiTheme="minorEastAsia" w:hAnsiTheme="minorEastAsia"/>
          <w:szCs w:val="28"/>
          <w:u w:val="single"/>
        </w:rPr>
        <w:t>设备网承载视频监控系统、出入口控制系统、停车场管理系统、建筑设备监控系统、建筑能效监管系统、医疗气体监测系统、智能照明控制系统、变配电监控等。目前WIFI、物联网、5G医疗专网等无线网技术发展较快，各种应用也层出不穷，应根据各医院自身的各类移动应用需要，在医院独立部署或融合部署WIFI、物联网、5G医疗专网等不同类型的无线网络。</w:t>
      </w:r>
    </w:p>
    <w:p w14:paraId="432FF9DD">
      <w:pPr>
        <w:spacing w:before="312" w:beforeLines="100"/>
        <w:rPr>
          <w:rFonts w:cs="宋体" w:asciiTheme="minorEastAsia" w:hAnsiTheme="minorEastAsia"/>
          <w:bCs/>
        </w:rPr>
      </w:pPr>
      <w:r>
        <w:rPr>
          <w:rFonts w:cs="宋体" w:asciiTheme="minorEastAsia" w:hAnsiTheme="minorEastAsia"/>
          <w:bCs/>
        </w:rPr>
        <w:t xml:space="preserve">9.2.4 </w:t>
      </w:r>
      <w:r>
        <w:rPr>
          <w:rFonts w:hint="eastAsia" w:cs="宋体" w:asciiTheme="minorEastAsia" w:hAnsiTheme="minorEastAsia"/>
          <w:bCs/>
        </w:rPr>
        <w:t>本条对信息插座的安装作了灵活的考虑，规范一般要求是按照距地300mm设置，然而在医院中有许多特殊的设备、工作台面和医疗带，需要就近安装信息插座，以减少线缆接插的凌乱而影响工作，当信息插座安装在工作台上时，宜在其上方100mm处。</w:t>
      </w:r>
    </w:p>
    <w:p w14:paraId="22917CF0">
      <w:pPr>
        <w:ind w:firstLine="480" w:firstLineChars="200"/>
        <w:rPr>
          <w:rFonts w:cs="宋体" w:asciiTheme="minorEastAsia" w:hAnsiTheme="minorEastAsia"/>
          <w:bCs/>
        </w:rPr>
      </w:pPr>
      <w:r>
        <w:rPr>
          <w:rFonts w:hint="eastAsia" w:cs="宋体" w:asciiTheme="minorEastAsia" w:hAnsiTheme="minorEastAsia"/>
          <w:bCs/>
        </w:rPr>
        <w:t>信息点的确定可参见信息点布置</w:t>
      </w:r>
      <w:r>
        <w:rPr>
          <w:rFonts w:cs="宋体" w:asciiTheme="minorEastAsia" w:hAnsiTheme="minorEastAsia"/>
          <w:bCs/>
        </w:rPr>
        <w:t>（</w:t>
      </w:r>
      <w:r>
        <w:rPr>
          <w:rFonts w:hint="eastAsia" w:cs="宋体" w:asciiTheme="minorEastAsia" w:hAnsiTheme="minorEastAsia"/>
          <w:bCs/>
        </w:rPr>
        <w:t>表</w:t>
      </w:r>
      <w:r>
        <w:rPr>
          <w:rFonts w:cs="宋体" w:asciiTheme="minorEastAsia" w:hAnsiTheme="minorEastAsia"/>
          <w:bCs/>
        </w:rPr>
        <w:t>5）</w:t>
      </w:r>
      <w:r>
        <w:rPr>
          <w:rFonts w:hint="eastAsia" w:cs="宋体" w:asciiTheme="minorEastAsia" w:hAnsiTheme="minorEastAsia"/>
          <w:bCs/>
        </w:rPr>
        <w:t>。</w:t>
      </w:r>
    </w:p>
    <w:p w14:paraId="4272BB02">
      <w:pPr>
        <w:kinsoku w:val="0"/>
        <w:overflowPunct w:val="0"/>
        <w:jc w:val="center"/>
        <w:rPr>
          <w:rFonts w:asciiTheme="minorEastAsia" w:hAnsiTheme="minorEastAsia"/>
          <w:b/>
          <w:bCs/>
          <w:sz w:val="22"/>
          <w:szCs w:val="22"/>
        </w:rPr>
      </w:pPr>
      <w:r>
        <w:rPr>
          <w:rFonts w:hint="eastAsia" w:asciiTheme="minorEastAsia" w:hAnsiTheme="minorEastAsia"/>
          <w:b/>
          <w:bCs/>
          <w:sz w:val="22"/>
          <w:szCs w:val="22"/>
        </w:rPr>
        <w:t>表</w:t>
      </w:r>
      <w:r>
        <w:rPr>
          <w:rFonts w:asciiTheme="minorEastAsia" w:hAnsiTheme="minorEastAsia"/>
          <w:b/>
          <w:bCs/>
          <w:sz w:val="22"/>
          <w:szCs w:val="22"/>
        </w:rPr>
        <w:t xml:space="preserve">5 </w:t>
      </w:r>
      <w:r>
        <w:rPr>
          <w:rFonts w:hint="eastAsia" w:asciiTheme="minorEastAsia" w:hAnsiTheme="minorEastAsia"/>
          <w:b/>
          <w:bCs/>
          <w:sz w:val="22"/>
          <w:szCs w:val="22"/>
        </w:rPr>
        <w:t>信息点布置</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8"/>
        <w:gridCol w:w="1275"/>
        <w:gridCol w:w="1508"/>
        <w:gridCol w:w="1508"/>
        <w:gridCol w:w="1508"/>
        <w:gridCol w:w="1509"/>
      </w:tblGrid>
      <w:tr w14:paraId="444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blHeader/>
          <w:jc w:val="center"/>
        </w:trPr>
        <w:tc>
          <w:tcPr>
            <w:tcW w:w="988" w:type="dxa"/>
            <w:shd w:val="clear" w:color="auto" w:fill="auto"/>
            <w:vAlign w:val="center"/>
          </w:tcPr>
          <w:p w14:paraId="467D21E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部门</w:t>
            </w:r>
          </w:p>
        </w:tc>
        <w:tc>
          <w:tcPr>
            <w:tcW w:w="1275" w:type="dxa"/>
            <w:shd w:val="clear" w:color="auto" w:fill="auto"/>
            <w:vAlign w:val="center"/>
          </w:tcPr>
          <w:p w14:paraId="498B780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医疗场所</w:t>
            </w:r>
          </w:p>
        </w:tc>
        <w:tc>
          <w:tcPr>
            <w:tcW w:w="1508" w:type="dxa"/>
            <w:shd w:val="clear" w:color="auto" w:fill="auto"/>
            <w:vAlign w:val="center"/>
          </w:tcPr>
          <w:p w14:paraId="0687C8A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基本需求</w:t>
            </w:r>
          </w:p>
        </w:tc>
        <w:tc>
          <w:tcPr>
            <w:tcW w:w="1508" w:type="dxa"/>
            <w:shd w:val="clear" w:color="auto" w:fill="auto"/>
            <w:vAlign w:val="center"/>
          </w:tcPr>
          <w:p w14:paraId="222AA0E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一般需求</w:t>
            </w:r>
          </w:p>
        </w:tc>
        <w:tc>
          <w:tcPr>
            <w:tcW w:w="1508" w:type="dxa"/>
            <w:shd w:val="clear" w:color="auto" w:fill="auto"/>
            <w:vAlign w:val="center"/>
          </w:tcPr>
          <w:p w14:paraId="586B10F6">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扩大需求</w:t>
            </w:r>
          </w:p>
        </w:tc>
        <w:tc>
          <w:tcPr>
            <w:tcW w:w="1509" w:type="dxa"/>
            <w:shd w:val="clear" w:color="auto" w:fill="auto"/>
            <w:vAlign w:val="center"/>
          </w:tcPr>
          <w:p w14:paraId="1E7687C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备注</w:t>
            </w:r>
          </w:p>
        </w:tc>
      </w:tr>
      <w:tr w14:paraId="47F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restart"/>
            <w:shd w:val="clear" w:color="auto" w:fill="auto"/>
            <w:vAlign w:val="center"/>
          </w:tcPr>
          <w:p w14:paraId="1E75259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门诊部</w:t>
            </w:r>
          </w:p>
        </w:tc>
        <w:tc>
          <w:tcPr>
            <w:tcW w:w="1275" w:type="dxa"/>
            <w:shd w:val="clear" w:color="auto" w:fill="auto"/>
            <w:vAlign w:val="center"/>
          </w:tcPr>
          <w:p w14:paraId="0F30C94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单人间诊室</w:t>
            </w:r>
          </w:p>
        </w:tc>
        <w:tc>
          <w:tcPr>
            <w:tcW w:w="1508" w:type="dxa"/>
            <w:shd w:val="clear" w:color="auto" w:fill="auto"/>
            <w:vAlign w:val="center"/>
          </w:tcPr>
          <w:p w14:paraId="5DA5BEE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3A9A245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1个双孔插座（1个数据，1个语音）</w:t>
            </w:r>
          </w:p>
        </w:tc>
        <w:tc>
          <w:tcPr>
            <w:tcW w:w="1508" w:type="dxa"/>
            <w:shd w:val="clear" w:color="auto" w:fill="auto"/>
            <w:vAlign w:val="center"/>
          </w:tcPr>
          <w:p w14:paraId="46704DA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1个双孔+1个单孔插座（2个数据，1个语音）</w:t>
            </w:r>
          </w:p>
        </w:tc>
        <w:tc>
          <w:tcPr>
            <w:tcW w:w="1509" w:type="dxa"/>
            <w:shd w:val="clear" w:color="auto" w:fill="auto"/>
            <w:vAlign w:val="center"/>
          </w:tcPr>
          <w:p w14:paraId="5D60072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扩大需求可采用1个数据点接入互联网</w:t>
            </w:r>
          </w:p>
        </w:tc>
      </w:tr>
      <w:tr w14:paraId="5808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112B355C">
            <w:pPr>
              <w:spacing w:line="240" w:lineRule="auto"/>
              <w:jc w:val="center"/>
              <w:rPr>
                <w:rFonts w:cs="宋体" w:asciiTheme="minorEastAsia" w:hAnsiTheme="minorEastAsia"/>
                <w:sz w:val="22"/>
                <w:szCs w:val="22"/>
              </w:rPr>
            </w:pPr>
          </w:p>
        </w:tc>
        <w:tc>
          <w:tcPr>
            <w:tcW w:w="1275" w:type="dxa"/>
            <w:shd w:val="clear" w:color="auto" w:fill="auto"/>
            <w:vAlign w:val="center"/>
          </w:tcPr>
          <w:p w14:paraId="41AAD6A0">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双人间诊室</w:t>
            </w:r>
          </w:p>
        </w:tc>
        <w:tc>
          <w:tcPr>
            <w:tcW w:w="1508" w:type="dxa"/>
            <w:shd w:val="clear" w:color="auto" w:fill="auto"/>
            <w:vAlign w:val="center"/>
          </w:tcPr>
          <w:p w14:paraId="51F8878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1个双孔+1个单孔插座（2个数据，1个语音）</w:t>
            </w:r>
          </w:p>
        </w:tc>
        <w:tc>
          <w:tcPr>
            <w:tcW w:w="1508" w:type="dxa"/>
            <w:shd w:val="clear" w:color="auto" w:fill="auto"/>
            <w:vAlign w:val="center"/>
          </w:tcPr>
          <w:p w14:paraId="4674F461">
            <w:pPr>
              <w:spacing w:line="240" w:lineRule="auto"/>
              <w:jc w:val="center"/>
              <w:rPr>
                <w:rFonts w:cs="宋体" w:asciiTheme="minorEastAsia" w:hAnsiTheme="minorEastAsia"/>
                <w:sz w:val="22"/>
                <w:szCs w:val="22"/>
              </w:rPr>
            </w:pPr>
            <w:r>
              <w:rPr>
                <w:rFonts w:cs="宋体" w:asciiTheme="minorEastAsia" w:hAnsiTheme="minorEastAsia"/>
                <w:sz w:val="22"/>
                <w:szCs w:val="22"/>
              </w:rPr>
              <w:t>2</w:t>
            </w:r>
            <w:r>
              <w:rPr>
                <w:rFonts w:hint="eastAsia" w:cs="宋体" w:asciiTheme="minorEastAsia" w:hAnsiTheme="minorEastAsia"/>
                <w:sz w:val="22"/>
                <w:szCs w:val="22"/>
              </w:rPr>
              <w:t>个双孔插座（2个数据，</w:t>
            </w:r>
            <w:r>
              <w:rPr>
                <w:rFonts w:cs="宋体" w:asciiTheme="minorEastAsia" w:hAnsiTheme="minorEastAsia"/>
                <w:sz w:val="22"/>
                <w:szCs w:val="22"/>
              </w:rPr>
              <w:t>2</w:t>
            </w:r>
            <w:r>
              <w:rPr>
                <w:rFonts w:hint="eastAsia" w:cs="宋体" w:asciiTheme="minorEastAsia" w:hAnsiTheme="minorEastAsia"/>
                <w:sz w:val="22"/>
                <w:szCs w:val="22"/>
              </w:rPr>
              <w:t>个语音）</w:t>
            </w:r>
          </w:p>
        </w:tc>
        <w:tc>
          <w:tcPr>
            <w:tcW w:w="1508" w:type="dxa"/>
            <w:shd w:val="clear" w:color="auto" w:fill="auto"/>
            <w:vAlign w:val="center"/>
          </w:tcPr>
          <w:p w14:paraId="0FD00402">
            <w:pPr>
              <w:spacing w:line="240" w:lineRule="auto"/>
              <w:jc w:val="center"/>
              <w:rPr>
                <w:rFonts w:cs="宋体" w:asciiTheme="minorEastAsia" w:hAnsiTheme="minorEastAsia"/>
                <w:sz w:val="22"/>
                <w:szCs w:val="22"/>
              </w:rPr>
            </w:pPr>
            <w:r>
              <w:rPr>
                <w:rFonts w:cs="宋体" w:asciiTheme="minorEastAsia" w:hAnsiTheme="minorEastAsia"/>
                <w:sz w:val="22"/>
                <w:szCs w:val="22"/>
              </w:rPr>
              <w:t>3</w:t>
            </w:r>
            <w:r>
              <w:rPr>
                <w:rFonts w:hint="eastAsia" w:cs="宋体" w:asciiTheme="minorEastAsia" w:hAnsiTheme="minorEastAsia"/>
                <w:sz w:val="22"/>
                <w:szCs w:val="22"/>
              </w:rPr>
              <w:t>个双孔插座（</w:t>
            </w:r>
            <w:r>
              <w:rPr>
                <w:rFonts w:cs="宋体" w:asciiTheme="minorEastAsia" w:hAnsiTheme="minorEastAsia"/>
                <w:sz w:val="22"/>
                <w:szCs w:val="22"/>
              </w:rPr>
              <w:t>4</w:t>
            </w:r>
            <w:r>
              <w:rPr>
                <w:rFonts w:hint="eastAsia" w:cs="宋体" w:asciiTheme="minorEastAsia" w:hAnsiTheme="minorEastAsia"/>
                <w:sz w:val="22"/>
                <w:szCs w:val="22"/>
              </w:rPr>
              <w:t>个数据，</w:t>
            </w:r>
            <w:r>
              <w:rPr>
                <w:rFonts w:cs="宋体" w:asciiTheme="minorEastAsia" w:hAnsiTheme="minorEastAsia"/>
                <w:sz w:val="22"/>
                <w:szCs w:val="22"/>
              </w:rPr>
              <w:t>2</w:t>
            </w:r>
            <w:r>
              <w:rPr>
                <w:rFonts w:hint="eastAsia" w:cs="宋体" w:asciiTheme="minorEastAsia" w:hAnsiTheme="minorEastAsia"/>
                <w:sz w:val="22"/>
                <w:szCs w:val="22"/>
              </w:rPr>
              <w:t>个语音）</w:t>
            </w:r>
          </w:p>
        </w:tc>
        <w:tc>
          <w:tcPr>
            <w:tcW w:w="1509" w:type="dxa"/>
            <w:shd w:val="clear" w:color="auto" w:fill="auto"/>
            <w:vAlign w:val="center"/>
          </w:tcPr>
          <w:p w14:paraId="3A36813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基本需求可2人用1部电话</w:t>
            </w:r>
          </w:p>
        </w:tc>
      </w:tr>
      <w:tr w14:paraId="40DA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690826AD">
            <w:pPr>
              <w:spacing w:line="240" w:lineRule="auto"/>
              <w:jc w:val="center"/>
              <w:rPr>
                <w:rFonts w:cs="宋体" w:asciiTheme="minorEastAsia" w:hAnsiTheme="minorEastAsia"/>
                <w:sz w:val="22"/>
                <w:szCs w:val="22"/>
              </w:rPr>
            </w:pPr>
          </w:p>
        </w:tc>
        <w:tc>
          <w:tcPr>
            <w:tcW w:w="1275" w:type="dxa"/>
            <w:shd w:val="clear" w:color="auto" w:fill="auto"/>
            <w:vAlign w:val="center"/>
          </w:tcPr>
          <w:p w14:paraId="78C0A3E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分诊台</w:t>
            </w:r>
          </w:p>
        </w:tc>
        <w:tc>
          <w:tcPr>
            <w:tcW w:w="1508" w:type="dxa"/>
            <w:shd w:val="clear" w:color="auto" w:fill="auto"/>
            <w:vAlign w:val="center"/>
          </w:tcPr>
          <w:p w14:paraId="115C7B5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23F532F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1个双孔插座（1个数据，1个语音）</w:t>
            </w:r>
          </w:p>
        </w:tc>
        <w:tc>
          <w:tcPr>
            <w:tcW w:w="1508" w:type="dxa"/>
            <w:shd w:val="clear" w:color="auto" w:fill="auto"/>
            <w:vAlign w:val="center"/>
          </w:tcPr>
          <w:p w14:paraId="10B01C1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1个双孔+1个单孔插座（2个数据，1个语音）</w:t>
            </w:r>
          </w:p>
        </w:tc>
        <w:tc>
          <w:tcPr>
            <w:tcW w:w="1509" w:type="dxa"/>
            <w:shd w:val="clear" w:color="auto" w:fill="auto"/>
            <w:vAlign w:val="center"/>
          </w:tcPr>
          <w:p w14:paraId="4F31B42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扩大需求可采用1个数据点用于呼叫显示</w:t>
            </w:r>
          </w:p>
        </w:tc>
      </w:tr>
      <w:tr w14:paraId="3448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0EF5C429">
            <w:pPr>
              <w:spacing w:line="240" w:lineRule="auto"/>
              <w:jc w:val="center"/>
              <w:rPr>
                <w:rFonts w:cs="宋体" w:asciiTheme="minorEastAsia" w:hAnsiTheme="minorEastAsia"/>
                <w:sz w:val="22"/>
                <w:szCs w:val="22"/>
              </w:rPr>
            </w:pPr>
          </w:p>
        </w:tc>
        <w:tc>
          <w:tcPr>
            <w:tcW w:w="1275" w:type="dxa"/>
            <w:shd w:val="clear" w:color="auto" w:fill="auto"/>
            <w:vAlign w:val="center"/>
          </w:tcPr>
          <w:p w14:paraId="0573122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候诊区</w:t>
            </w:r>
          </w:p>
        </w:tc>
        <w:tc>
          <w:tcPr>
            <w:tcW w:w="1508" w:type="dxa"/>
            <w:shd w:val="clear" w:color="auto" w:fill="auto"/>
            <w:vAlign w:val="center"/>
          </w:tcPr>
          <w:p w14:paraId="2A8BC03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4E5A400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w:t>
            </w:r>
            <w:r>
              <w:rPr>
                <w:rFonts w:hint="eastAsia" w:asciiTheme="minorEastAsia" w:hAnsiTheme="minorEastAsia"/>
                <w:sz w:val="22"/>
                <w:szCs w:val="22"/>
                <w:bdr w:val="single" w:color="auto" w:sz="4" w:space="0"/>
              </w:rPr>
              <w:t>双</w:t>
            </w:r>
            <w:r>
              <w:rPr>
                <w:rFonts w:hint="eastAsia" w:cs="宋体" w:asciiTheme="minorEastAsia" w:hAnsiTheme="minorEastAsia"/>
                <w:sz w:val="22"/>
                <w:szCs w:val="22"/>
                <w:u w:val="single"/>
              </w:rPr>
              <w:t>单</w:t>
            </w:r>
            <w:r>
              <w:rPr>
                <w:rFonts w:hint="eastAsia" w:cs="宋体" w:asciiTheme="minorEastAsia" w:hAnsiTheme="minorEastAsia"/>
                <w:sz w:val="22"/>
                <w:szCs w:val="22"/>
              </w:rPr>
              <w:t>孔插座（</w:t>
            </w:r>
            <w:r>
              <w:rPr>
                <w:rFonts w:hint="eastAsia" w:asciiTheme="minorEastAsia" w:hAnsiTheme="minorEastAsia"/>
                <w:sz w:val="22"/>
                <w:szCs w:val="22"/>
                <w:bdr w:val="single" w:color="auto" w:sz="4" w:space="0"/>
              </w:rPr>
              <w:t>1个</w:t>
            </w:r>
            <w:r>
              <w:rPr>
                <w:rFonts w:hint="eastAsia" w:cs="宋体" w:asciiTheme="minorEastAsia" w:hAnsiTheme="minorEastAsia"/>
                <w:sz w:val="22"/>
                <w:szCs w:val="22"/>
                <w:u w:val="single"/>
              </w:rPr>
              <w:t>用于</w:t>
            </w:r>
            <w:r>
              <w:rPr>
                <w:rFonts w:hint="eastAsia" w:cs="宋体" w:asciiTheme="minorEastAsia" w:hAnsiTheme="minorEastAsia"/>
                <w:sz w:val="22"/>
                <w:szCs w:val="22"/>
              </w:rPr>
              <w:t>数据</w:t>
            </w:r>
            <w:r>
              <w:rPr>
                <w:rFonts w:hint="eastAsia" w:asciiTheme="minorEastAsia" w:hAnsiTheme="minorEastAsia"/>
                <w:sz w:val="22"/>
                <w:szCs w:val="22"/>
                <w:bdr w:val="single" w:color="auto" w:sz="4" w:space="0"/>
              </w:rPr>
              <w:t>，1个语音</w:t>
            </w:r>
            <w:r>
              <w:rPr>
                <w:rFonts w:hint="eastAsia" w:cs="宋体" w:asciiTheme="minorEastAsia" w:hAnsiTheme="minorEastAsia"/>
                <w:sz w:val="22"/>
                <w:szCs w:val="22"/>
              </w:rPr>
              <w:t>）</w:t>
            </w:r>
          </w:p>
        </w:tc>
        <w:tc>
          <w:tcPr>
            <w:tcW w:w="1508" w:type="dxa"/>
            <w:shd w:val="clear" w:color="auto" w:fill="auto"/>
            <w:vAlign w:val="center"/>
          </w:tcPr>
          <w:p w14:paraId="7757D11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7EFC68AA">
            <w:pPr>
              <w:spacing w:line="240" w:lineRule="auto"/>
              <w:jc w:val="center"/>
              <w:rPr>
                <w:rFonts w:cs="宋体" w:asciiTheme="minorEastAsia" w:hAnsiTheme="minorEastAsia"/>
                <w:sz w:val="22"/>
                <w:szCs w:val="22"/>
              </w:rPr>
            </w:pPr>
            <w:r>
              <w:rPr>
                <w:rFonts w:hint="eastAsia" w:asciiTheme="minorEastAsia" w:hAnsiTheme="minorEastAsia"/>
                <w:sz w:val="22"/>
                <w:szCs w:val="22"/>
                <w:bdr w:val="single" w:color="auto" w:sz="4" w:space="0"/>
              </w:rPr>
              <w:t>数据</w:t>
            </w:r>
            <w:r>
              <w:rPr>
                <w:rFonts w:hint="eastAsia" w:cs="宋体" w:asciiTheme="minorEastAsia" w:hAnsiTheme="minorEastAsia"/>
                <w:sz w:val="22"/>
                <w:szCs w:val="22"/>
              </w:rPr>
              <w:t>用于信息发布</w:t>
            </w:r>
            <w:r>
              <w:rPr>
                <w:rFonts w:hint="eastAsia" w:asciiTheme="minorEastAsia" w:hAnsiTheme="minorEastAsia"/>
                <w:sz w:val="22"/>
                <w:szCs w:val="22"/>
                <w:bdr w:val="single" w:color="auto" w:sz="4" w:space="0"/>
              </w:rPr>
              <w:t>，语音用于公用电话</w:t>
            </w:r>
          </w:p>
        </w:tc>
      </w:tr>
      <w:tr w14:paraId="051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restart"/>
            <w:shd w:val="clear" w:color="auto" w:fill="auto"/>
            <w:vAlign w:val="center"/>
          </w:tcPr>
          <w:p w14:paraId="54B5397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挂号、收费及取药</w:t>
            </w:r>
          </w:p>
        </w:tc>
        <w:tc>
          <w:tcPr>
            <w:tcW w:w="1275" w:type="dxa"/>
            <w:shd w:val="clear" w:color="auto" w:fill="auto"/>
            <w:vAlign w:val="center"/>
          </w:tcPr>
          <w:p w14:paraId="476B6526">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挂号窗口</w:t>
            </w:r>
          </w:p>
        </w:tc>
        <w:tc>
          <w:tcPr>
            <w:tcW w:w="1508" w:type="dxa"/>
            <w:shd w:val="clear" w:color="auto" w:fill="auto"/>
            <w:vAlign w:val="center"/>
          </w:tcPr>
          <w:p w14:paraId="7E143C7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每个窗口设置1个单孔插座（用于数据），集中设置1</w:t>
            </w:r>
            <w:r>
              <w:rPr>
                <w:rFonts w:cs="宋体" w:asciiTheme="minorEastAsia" w:hAnsiTheme="minorEastAsia"/>
                <w:sz w:val="22"/>
                <w:szCs w:val="22"/>
              </w:rPr>
              <w:t>～2</w:t>
            </w:r>
            <w:r>
              <w:rPr>
                <w:rFonts w:hint="eastAsia" w:cs="宋体" w:asciiTheme="minorEastAsia" w:hAnsiTheme="minorEastAsia"/>
                <w:sz w:val="22"/>
                <w:szCs w:val="22"/>
              </w:rPr>
              <w:t>个单孔插座（用于语音）</w:t>
            </w:r>
          </w:p>
        </w:tc>
        <w:tc>
          <w:tcPr>
            <w:tcW w:w="1508" w:type="dxa"/>
            <w:shd w:val="clear" w:color="auto" w:fill="auto"/>
            <w:vAlign w:val="center"/>
          </w:tcPr>
          <w:p w14:paraId="696197D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每个窗口设置1个双孔插座（1个数据，1个语音）</w:t>
            </w:r>
          </w:p>
        </w:tc>
        <w:tc>
          <w:tcPr>
            <w:tcW w:w="1508" w:type="dxa"/>
            <w:shd w:val="clear" w:color="auto" w:fill="auto"/>
            <w:vAlign w:val="center"/>
          </w:tcPr>
          <w:p w14:paraId="600C27A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4D59B26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2E09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7EFABFF1">
            <w:pPr>
              <w:spacing w:line="240" w:lineRule="auto"/>
              <w:jc w:val="center"/>
              <w:rPr>
                <w:rFonts w:cs="宋体" w:asciiTheme="minorEastAsia" w:hAnsiTheme="minorEastAsia"/>
                <w:sz w:val="22"/>
                <w:szCs w:val="22"/>
              </w:rPr>
            </w:pPr>
          </w:p>
        </w:tc>
        <w:tc>
          <w:tcPr>
            <w:tcW w:w="1275" w:type="dxa"/>
            <w:shd w:val="clear" w:color="auto" w:fill="auto"/>
            <w:vAlign w:val="center"/>
          </w:tcPr>
          <w:p w14:paraId="74A2840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收费窗口</w:t>
            </w:r>
          </w:p>
        </w:tc>
        <w:tc>
          <w:tcPr>
            <w:tcW w:w="1508" w:type="dxa"/>
            <w:shd w:val="clear" w:color="auto" w:fill="auto"/>
            <w:vAlign w:val="center"/>
          </w:tcPr>
          <w:p w14:paraId="19B0B82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2B96348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每个窗口设置1个双孔插座（1个数据，1个语音）</w:t>
            </w:r>
          </w:p>
        </w:tc>
        <w:tc>
          <w:tcPr>
            <w:tcW w:w="1508" w:type="dxa"/>
            <w:shd w:val="clear" w:color="auto" w:fill="auto"/>
            <w:vAlign w:val="center"/>
          </w:tcPr>
          <w:p w14:paraId="3C6A9A0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60A4D19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12A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3F2B8C2A">
            <w:pPr>
              <w:spacing w:line="240" w:lineRule="auto"/>
              <w:jc w:val="center"/>
              <w:rPr>
                <w:rFonts w:cs="宋体" w:asciiTheme="minorEastAsia" w:hAnsiTheme="minorEastAsia"/>
                <w:sz w:val="22"/>
                <w:szCs w:val="22"/>
              </w:rPr>
            </w:pPr>
          </w:p>
        </w:tc>
        <w:tc>
          <w:tcPr>
            <w:tcW w:w="1275" w:type="dxa"/>
            <w:shd w:val="clear" w:color="auto" w:fill="auto"/>
            <w:vAlign w:val="center"/>
          </w:tcPr>
          <w:p w14:paraId="04AD07E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取药窗口</w:t>
            </w:r>
          </w:p>
        </w:tc>
        <w:tc>
          <w:tcPr>
            <w:tcW w:w="1508" w:type="dxa"/>
            <w:shd w:val="clear" w:color="auto" w:fill="auto"/>
            <w:vAlign w:val="center"/>
          </w:tcPr>
          <w:p w14:paraId="7D1581F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每个窗口设置1个单孔插座（用于数据），集中设置1</w:t>
            </w:r>
            <w:r>
              <w:rPr>
                <w:rFonts w:cs="宋体" w:asciiTheme="minorEastAsia" w:hAnsiTheme="minorEastAsia"/>
                <w:sz w:val="22"/>
                <w:szCs w:val="22"/>
              </w:rPr>
              <w:t>～2</w:t>
            </w:r>
            <w:r>
              <w:rPr>
                <w:rFonts w:hint="eastAsia" w:cs="宋体" w:asciiTheme="minorEastAsia" w:hAnsiTheme="minorEastAsia"/>
                <w:sz w:val="22"/>
                <w:szCs w:val="22"/>
              </w:rPr>
              <w:t>个单孔插座（用于语音）</w:t>
            </w:r>
          </w:p>
        </w:tc>
        <w:tc>
          <w:tcPr>
            <w:tcW w:w="1508" w:type="dxa"/>
            <w:shd w:val="clear" w:color="auto" w:fill="auto"/>
            <w:vAlign w:val="center"/>
          </w:tcPr>
          <w:p w14:paraId="3D28828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每个窗口设置1个双孔插座（1个数据，1个语音）</w:t>
            </w:r>
          </w:p>
        </w:tc>
        <w:tc>
          <w:tcPr>
            <w:tcW w:w="1508" w:type="dxa"/>
            <w:shd w:val="clear" w:color="auto" w:fill="auto"/>
            <w:vAlign w:val="center"/>
          </w:tcPr>
          <w:p w14:paraId="56254B8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6FCFD1A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7A23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restart"/>
            <w:shd w:val="clear" w:color="auto" w:fill="auto"/>
            <w:vAlign w:val="center"/>
          </w:tcPr>
          <w:p w14:paraId="6FF9C1D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医技部</w:t>
            </w:r>
          </w:p>
        </w:tc>
        <w:tc>
          <w:tcPr>
            <w:tcW w:w="1275" w:type="dxa"/>
            <w:shd w:val="clear" w:color="auto" w:fill="auto"/>
            <w:vAlign w:val="center"/>
          </w:tcPr>
          <w:p w14:paraId="5B8D535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医疗检验、检查设备</w:t>
            </w:r>
          </w:p>
        </w:tc>
        <w:tc>
          <w:tcPr>
            <w:tcW w:w="1508" w:type="dxa"/>
            <w:shd w:val="clear" w:color="auto" w:fill="auto"/>
            <w:vAlign w:val="center"/>
          </w:tcPr>
          <w:p w14:paraId="57C2A6A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每个设备设置1个单孔插座</w:t>
            </w:r>
          </w:p>
        </w:tc>
        <w:tc>
          <w:tcPr>
            <w:tcW w:w="1508" w:type="dxa"/>
            <w:shd w:val="clear" w:color="auto" w:fill="auto"/>
            <w:vAlign w:val="center"/>
          </w:tcPr>
          <w:p w14:paraId="617FB55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设置1个双孔插座（1个用于数据，1个用于语音）</w:t>
            </w:r>
          </w:p>
        </w:tc>
        <w:tc>
          <w:tcPr>
            <w:tcW w:w="1508" w:type="dxa"/>
            <w:shd w:val="clear" w:color="auto" w:fill="auto"/>
            <w:vAlign w:val="center"/>
          </w:tcPr>
          <w:p w14:paraId="7B5CF40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380A31B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基本需求满足无人操作设备，一般需求满足有人操作设备</w:t>
            </w:r>
          </w:p>
        </w:tc>
      </w:tr>
      <w:tr w14:paraId="070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3000392A">
            <w:pPr>
              <w:spacing w:line="240" w:lineRule="auto"/>
              <w:jc w:val="center"/>
              <w:rPr>
                <w:rFonts w:cs="宋体" w:asciiTheme="minorEastAsia" w:hAnsiTheme="minorEastAsia"/>
                <w:sz w:val="22"/>
                <w:szCs w:val="22"/>
              </w:rPr>
            </w:pPr>
          </w:p>
        </w:tc>
        <w:tc>
          <w:tcPr>
            <w:tcW w:w="1275" w:type="dxa"/>
            <w:shd w:val="clear" w:color="auto" w:fill="auto"/>
            <w:vAlign w:val="center"/>
          </w:tcPr>
          <w:p w14:paraId="139DDFC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操作人员</w:t>
            </w:r>
            <w:r>
              <w:rPr>
                <w:rFonts w:cs="宋体" w:asciiTheme="minorEastAsia" w:hAnsiTheme="minorEastAsia"/>
                <w:sz w:val="22"/>
                <w:szCs w:val="22"/>
              </w:rPr>
              <w:br w:type="textWrapping"/>
            </w:r>
            <w:r>
              <w:rPr>
                <w:rFonts w:hint="eastAsia" w:cs="宋体" w:asciiTheme="minorEastAsia" w:hAnsiTheme="minorEastAsia"/>
                <w:sz w:val="22"/>
                <w:szCs w:val="22"/>
              </w:rPr>
              <w:t>工作台</w:t>
            </w:r>
          </w:p>
        </w:tc>
        <w:tc>
          <w:tcPr>
            <w:tcW w:w="1508" w:type="dxa"/>
            <w:shd w:val="clear" w:color="auto" w:fill="auto"/>
            <w:vAlign w:val="center"/>
          </w:tcPr>
          <w:p w14:paraId="2A9F38E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3957AF3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设置1个双孔插座（1个用于数据，1个用于语音）</w:t>
            </w:r>
          </w:p>
        </w:tc>
        <w:tc>
          <w:tcPr>
            <w:tcW w:w="1508" w:type="dxa"/>
            <w:shd w:val="clear" w:color="auto" w:fill="auto"/>
            <w:vAlign w:val="center"/>
          </w:tcPr>
          <w:p w14:paraId="73E8D57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46535C2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3CD2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1C9A904D">
            <w:pPr>
              <w:spacing w:line="240" w:lineRule="auto"/>
              <w:jc w:val="center"/>
              <w:rPr>
                <w:rFonts w:cs="宋体" w:asciiTheme="minorEastAsia" w:hAnsiTheme="minorEastAsia"/>
                <w:sz w:val="22"/>
                <w:szCs w:val="22"/>
              </w:rPr>
            </w:pPr>
          </w:p>
        </w:tc>
        <w:tc>
          <w:tcPr>
            <w:tcW w:w="1275" w:type="dxa"/>
            <w:shd w:val="clear" w:color="auto" w:fill="auto"/>
            <w:vAlign w:val="center"/>
          </w:tcPr>
          <w:p w14:paraId="709E8880">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检验、</w:t>
            </w:r>
            <w:r>
              <w:rPr>
                <w:rFonts w:cs="宋体" w:asciiTheme="minorEastAsia" w:hAnsiTheme="minorEastAsia"/>
                <w:sz w:val="22"/>
                <w:szCs w:val="22"/>
              </w:rPr>
              <w:br w:type="textWrapping"/>
            </w:r>
            <w:r>
              <w:rPr>
                <w:rFonts w:hint="eastAsia" w:cs="宋体" w:asciiTheme="minorEastAsia" w:hAnsiTheme="minorEastAsia"/>
                <w:sz w:val="22"/>
                <w:szCs w:val="22"/>
              </w:rPr>
              <w:t>检查分诊台</w:t>
            </w:r>
          </w:p>
        </w:tc>
        <w:tc>
          <w:tcPr>
            <w:tcW w:w="1508" w:type="dxa"/>
            <w:shd w:val="clear" w:color="auto" w:fill="auto"/>
            <w:vAlign w:val="center"/>
          </w:tcPr>
          <w:p w14:paraId="0CE78EF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2A65366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1个双孔插座（1个数据，1个语音）</w:t>
            </w:r>
          </w:p>
        </w:tc>
        <w:tc>
          <w:tcPr>
            <w:tcW w:w="1508" w:type="dxa"/>
            <w:shd w:val="clear" w:color="auto" w:fill="auto"/>
            <w:vAlign w:val="center"/>
          </w:tcPr>
          <w:p w14:paraId="07E4297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1个双孔+1个单孔插座（2个数据，1个语音）</w:t>
            </w:r>
          </w:p>
        </w:tc>
        <w:tc>
          <w:tcPr>
            <w:tcW w:w="1509" w:type="dxa"/>
            <w:shd w:val="clear" w:color="auto" w:fill="auto"/>
            <w:vAlign w:val="center"/>
          </w:tcPr>
          <w:p w14:paraId="5717883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扩大需求可采用1个数据点用于呼叫显示</w:t>
            </w:r>
          </w:p>
        </w:tc>
      </w:tr>
      <w:tr w14:paraId="37BA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63A1BE48">
            <w:pPr>
              <w:spacing w:line="240" w:lineRule="auto"/>
              <w:jc w:val="center"/>
              <w:rPr>
                <w:rFonts w:cs="宋体" w:asciiTheme="minorEastAsia" w:hAnsiTheme="minorEastAsia"/>
                <w:sz w:val="22"/>
                <w:szCs w:val="22"/>
              </w:rPr>
            </w:pPr>
          </w:p>
        </w:tc>
        <w:tc>
          <w:tcPr>
            <w:tcW w:w="1275" w:type="dxa"/>
            <w:shd w:val="clear" w:color="auto" w:fill="auto"/>
            <w:vAlign w:val="center"/>
          </w:tcPr>
          <w:p w14:paraId="4F0DAFE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诊断报告</w:t>
            </w:r>
            <w:r>
              <w:rPr>
                <w:rFonts w:cs="宋体" w:asciiTheme="minorEastAsia" w:hAnsiTheme="minorEastAsia"/>
                <w:sz w:val="22"/>
                <w:szCs w:val="22"/>
              </w:rPr>
              <w:br w:type="textWrapping"/>
            </w:r>
            <w:r>
              <w:rPr>
                <w:rFonts w:hint="eastAsia" w:cs="宋体" w:asciiTheme="minorEastAsia" w:hAnsiTheme="minorEastAsia"/>
                <w:sz w:val="22"/>
                <w:szCs w:val="22"/>
              </w:rPr>
              <w:t>工作台</w:t>
            </w:r>
          </w:p>
        </w:tc>
        <w:tc>
          <w:tcPr>
            <w:tcW w:w="1508" w:type="dxa"/>
            <w:shd w:val="clear" w:color="auto" w:fill="auto"/>
            <w:vAlign w:val="center"/>
          </w:tcPr>
          <w:p w14:paraId="5B22831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560BF67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每个工位设置1个双孔插座（1个数据，1个语音）</w:t>
            </w:r>
          </w:p>
        </w:tc>
        <w:tc>
          <w:tcPr>
            <w:tcW w:w="1508" w:type="dxa"/>
            <w:shd w:val="clear" w:color="auto" w:fill="auto"/>
            <w:vAlign w:val="center"/>
          </w:tcPr>
          <w:p w14:paraId="23FA859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5CE4270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7509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7F2A1E59">
            <w:pPr>
              <w:spacing w:line="240" w:lineRule="auto"/>
              <w:jc w:val="center"/>
              <w:rPr>
                <w:rFonts w:cs="宋体" w:asciiTheme="minorEastAsia" w:hAnsiTheme="minorEastAsia"/>
                <w:sz w:val="22"/>
                <w:szCs w:val="22"/>
              </w:rPr>
            </w:pPr>
          </w:p>
        </w:tc>
        <w:tc>
          <w:tcPr>
            <w:tcW w:w="1275" w:type="dxa"/>
            <w:shd w:val="clear" w:color="auto" w:fill="auto"/>
            <w:vAlign w:val="center"/>
          </w:tcPr>
          <w:p w14:paraId="0DDB2D4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手术室</w:t>
            </w:r>
          </w:p>
        </w:tc>
        <w:tc>
          <w:tcPr>
            <w:tcW w:w="1508" w:type="dxa"/>
            <w:shd w:val="clear" w:color="auto" w:fill="auto"/>
            <w:vAlign w:val="center"/>
          </w:tcPr>
          <w:p w14:paraId="2C63BFE6">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每间手术室设置2个双孔插座（全部用于数据）</w:t>
            </w:r>
          </w:p>
        </w:tc>
        <w:tc>
          <w:tcPr>
            <w:tcW w:w="1508" w:type="dxa"/>
            <w:shd w:val="clear" w:color="auto" w:fill="auto"/>
            <w:vAlign w:val="center"/>
          </w:tcPr>
          <w:p w14:paraId="09C5B79F">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每间手术室设置</w:t>
            </w:r>
            <w:r>
              <w:rPr>
                <w:rFonts w:cs="宋体" w:asciiTheme="minorEastAsia" w:hAnsiTheme="minorEastAsia"/>
                <w:sz w:val="22"/>
                <w:szCs w:val="22"/>
              </w:rPr>
              <w:t>4</w:t>
            </w:r>
            <w:r>
              <w:rPr>
                <w:rFonts w:hint="eastAsia" w:cs="宋体" w:asciiTheme="minorEastAsia" w:hAnsiTheme="minorEastAsia"/>
                <w:sz w:val="22"/>
                <w:szCs w:val="22"/>
              </w:rPr>
              <w:t>个双孔插座，可分别安装在墙上和吊塔上（全部用于数据）</w:t>
            </w:r>
          </w:p>
        </w:tc>
        <w:tc>
          <w:tcPr>
            <w:tcW w:w="1508" w:type="dxa"/>
            <w:shd w:val="clear" w:color="auto" w:fill="auto"/>
            <w:vAlign w:val="center"/>
          </w:tcPr>
          <w:p w14:paraId="0121F2C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0E6C8A7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6553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restart"/>
            <w:shd w:val="clear" w:color="auto" w:fill="auto"/>
            <w:vAlign w:val="center"/>
          </w:tcPr>
          <w:p w14:paraId="7A75708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病房部</w:t>
            </w:r>
          </w:p>
        </w:tc>
        <w:tc>
          <w:tcPr>
            <w:tcW w:w="1275" w:type="dxa"/>
            <w:shd w:val="clear" w:color="auto" w:fill="auto"/>
            <w:vAlign w:val="center"/>
          </w:tcPr>
          <w:p w14:paraId="066A9BA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单人间病房（带套间）</w:t>
            </w:r>
          </w:p>
        </w:tc>
        <w:tc>
          <w:tcPr>
            <w:tcW w:w="1508" w:type="dxa"/>
            <w:shd w:val="clear" w:color="auto" w:fill="auto"/>
            <w:vAlign w:val="center"/>
          </w:tcPr>
          <w:p w14:paraId="42E2EAF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病房及客房各设置1个双孔插座（分别用于数据和语音），所有用于语音的插座均使用1个分机号码</w:t>
            </w:r>
          </w:p>
        </w:tc>
        <w:tc>
          <w:tcPr>
            <w:tcW w:w="1508" w:type="dxa"/>
            <w:shd w:val="clear" w:color="auto" w:fill="auto"/>
            <w:vAlign w:val="center"/>
          </w:tcPr>
          <w:p w14:paraId="165D5C5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病房及客房各设置1个双孔插座（分别用于数据和语音），另外在卫生间设置1个单孔插座用于语音，病房内所有语音插座均使用1个分机号码</w:t>
            </w:r>
          </w:p>
        </w:tc>
        <w:tc>
          <w:tcPr>
            <w:tcW w:w="1508" w:type="dxa"/>
            <w:shd w:val="clear" w:color="auto" w:fill="auto"/>
            <w:vAlign w:val="center"/>
          </w:tcPr>
          <w:p w14:paraId="16ABBE6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病房及客房各设置1个双孔插座（分别用于数据和语音），在病房内增加1个单孔插座用于数据，另外在卫生间设置1个单孔插座用于语音，病房内所有语音插座均使用1个分机号码</w:t>
            </w:r>
          </w:p>
        </w:tc>
        <w:tc>
          <w:tcPr>
            <w:tcW w:w="1509" w:type="dxa"/>
            <w:shd w:val="clear" w:color="auto" w:fill="auto"/>
            <w:vAlign w:val="center"/>
          </w:tcPr>
          <w:p w14:paraId="55B39476">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客房用于数据的插座及病房内增加的单孔插座用于互联网</w:t>
            </w:r>
          </w:p>
        </w:tc>
      </w:tr>
      <w:tr w14:paraId="4298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47735045">
            <w:pPr>
              <w:spacing w:line="240" w:lineRule="auto"/>
              <w:jc w:val="center"/>
              <w:rPr>
                <w:rFonts w:cs="宋体" w:asciiTheme="minorEastAsia" w:hAnsiTheme="minorEastAsia"/>
                <w:sz w:val="22"/>
                <w:szCs w:val="22"/>
              </w:rPr>
            </w:pPr>
          </w:p>
        </w:tc>
        <w:tc>
          <w:tcPr>
            <w:tcW w:w="1275" w:type="dxa"/>
            <w:shd w:val="clear" w:color="auto" w:fill="auto"/>
            <w:vAlign w:val="center"/>
          </w:tcPr>
          <w:p w14:paraId="2DDB4E6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单人病房</w:t>
            </w:r>
          </w:p>
        </w:tc>
        <w:tc>
          <w:tcPr>
            <w:tcW w:w="1508" w:type="dxa"/>
            <w:shd w:val="clear" w:color="auto" w:fill="auto"/>
            <w:vAlign w:val="center"/>
          </w:tcPr>
          <w:p w14:paraId="515B3EA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病房内设置1个双孔插座（1个数据，1个语音）</w:t>
            </w:r>
          </w:p>
        </w:tc>
        <w:tc>
          <w:tcPr>
            <w:tcW w:w="1508" w:type="dxa"/>
            <w:shd w:val="clear" w:color="auto" w:fill="auto"/>
            <w:vAlign w:val="center"/>
          </w:tcPr>
          <w:p w14:paraId="34803F5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病房内设置1个双孔插座（1个数据，2个语音），卫生间设置1个单孔插座用于语音，病房内所有语音插座均使用1个分机号码</w:t>
            </w:r>
          </w:p>
        </w:tc>
        <w:tc>
          <w:tcPr>
            <w:tcW w:w="1508" w:type="dxa"/>
            <w:shd w:val="clear" w:color="auto" w:fill="auto"/>
            <w:vAlign w:val="center"/>
          </w:tcPr>
          <w:p w14:paraId="370B24A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病房内设置1个双孔插座（1个数据，2个语音），卫生间设置</w:t>
            </w:r>
            <w:r>
              <w:rPr>
                <w:rFonts w:cs="宋体" w:asciiTheme="minorEastAsia" w:hAnsiTheme="minorEastAsia"/>
                <w:sz w:val="22"/>
                <w:szCs w:val="22"/>
              </w:rPr>
              <w:t>2</w:t>
            </w:r>
            <w:r>
              <w:rPr>
                <w:rFonts w:hint="eastAsia" w:cs="宋体" w:asciiTheme="minorEastAsia" w:hAnsiTheme="minorEastAsia"/>
                <w:sz w:val="22"/>
                <w:szCs w:val="22"/>
              </w:rPr>
              <w:t>个单孔插座用于语音，病房内所有语音插座均使用1个分机号码，病房内增加1个单孔插座用于数据</w:t>
            </w:r>
          </w:p>
        </w:tc>
        <w:tc>
          <w:tcPr>
            <w:tcW w:w="1509" w:type="dxa"/>
            <w:shd w:val="clear" w:color="auto" w:fill="auto"/>
            <w:vAlign w:val="center"/>
          </w:tcPr>
          <w:p w14:paraId="41891286">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病房内增加的单孔插座用于互联网</w:t>
            </w:r>
          </w:p>
        </w:tc>
      </w:tr>
      <w:tr w14:paraId="44D9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6E17FAB4">
            <w:pPr>
              <w:spacing w:line="240" w:lineRule="auto"/>
              <w:jc w:val="center"/>
              <w:rPr>
                <w:rFonts w:cs="宋体" w:asciiTheme="minorEastAsia" w:hAnsiTheme="minorEastAsia"/>
                <w:sz w:val="22"/>
                <w:szCs w:val="22"/>
              </w:rPr>
            </w:pPr>
          </w:p>
        </w:tc>
        <w:tc>
          <w:tcPr>
            <w:tcW w:w="1275" w:type="dxa"/>
            <w:shd w:val="clear" w:color="auto" w:fill="auto"/>
            <w:vAlign w:val="center"/>
          </w:tcPr>
          <w:p w14:paraId="28F9AE9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多人病房</w:t>
            </w:r>
          </w:p>
        </w:tc>
        <w:tc>
          <w:tcPr>
            <w:tcW w:w="1508" w:type="dxa"/>
            <w:shd w:val="clear" w:color="auto" w:fill="auto"/>
            <w:vAlign w:val="center"/>
          </w:tcPr>
          <w:p w14:paraId="0DABE9F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病房内设置1个双孔插座（1个数据，1个语音）</w:t>
            </w:r>
          </w:p>
        </w:tc>
        <w:tc>
          <w:tcPr>
            <w:tcW w:w="1508" w:type="dxa"/>
            <w:shd w:val="clear" w:color="auto" w:fill="auto"/>
            <w:vAlign w:val="center"/>
          </w:tcPr>
          <w:p w14:paraId="173A8B8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每床配置1个单孔插座用于数据</w:t>
            </w:r>
          </w:p>
        </w:tc>
        <w:tc>
          <w:tcPr>
            <w:tcW w:w="1508" w:type="dxa"/>
            <w:shd w:val="clear" w:color="auto" w:fill="auto"/>
            <w:vAlign w:val="center"/>
          </w:tcPr>
          <w:p w14:paraId="3C07B71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每床配置1个双孔插座用于数据</w:t>
            </w:r>
          </w:p>
        </w:tc>
        <w:tc>
          <w:tcPr>
            <w:tcW w:w="1509" w:type="dxa"/>
            <w:shd w:val="clear" w:color="auto" w:fill="auto"/>
            <w:vAlign w:val="center"/>
          </w:tcPr>
          <w:p w14:paraId="0F0819F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每床的双孔插座用于数据，其中1个数据用于互联网，多人间一般不设置语音插座，避免互相干扰</w:t>
            </w:r>
          </w:p>
        </w:tc>
      </w:tr>
      <w:tr w14:paraId="734C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773CEE50">
            <w:pPr>
              <w:spacing w:line="240" w:lineRule="auto"/>
              <w:jc w:val="center"/>
              <w:rPr>
                <w:rFonts w:cs="宋体" w:asciiTheme="minorEastAsia" w:hAnsiTheme="minorEastAsia"/>
                <w:sz w:val="22"/>
                <w:szCs w:val="22"/>
              </w:rPr>
            </w:pPr>
          </w:p>
        </w:tc>
        <w:tc>
          <w:tcPr>
            <w:tcW w:w="1275" w:type="dxa"/>
            <w:shd w:val="clear" w:color="auto" w:fill="auto"/>
            <w:vAlign w:val="center"/>
          </w:tcPr>
          <w:p w14:paraId="778F5FA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护士站</w:t>
            </w:r>
          </w:p>
        </w:tc>
        <w:tc>
          <w:tcPr>
            <w:tcW w:w="1508" w:type="dxa"/>
            <w:shd w:val="clear" w:color="auto" w:fill="auto"/>
            <w:vAlign w:val="center"/>
          </w:tcPr>
          <w:p w14:paraId="5254AB5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w:t>
            </w:r>
            <w:r>
              <w:rPr>
                <w:rFonts w:cs="宋体" w:asciiTheme="minorEastAsia" w:hAnsiTheme="minorEastAsia"/>
                <w:sz w:val="22"/>
                <w:szCs w:val="22"/>
              </w:rPr>
              <w:t>2</w:t>
            </w:r>
            <w:r>
              <w:rPr>
                <w:rFonts w:hint="eastAsia" w:cs="宋体" w:asciiTheme="minorEastAsia" w:hAnsiTheme="minorEastAsia"/>
                <w:sz w:val="22"/>
                <w:szCs w:val="22"/>
              </w:rPr>
              <w:t>个双孔插座（</w:t>
            </w:r>
            <w:r>
              <w:rPr>
                <w:rFonts w:cs="宋体" w:asciiTheme="minorEastAsia" w:hAnsiTheme="minorEastAsia"/>
                <w:sz w:val="22"/>
                <w:szCs w:val="22"/>
              </w:rPr>
              <w:t>3</w:t>
            </w:r>
            <w:r>
              <w:rPr>
                <w:rFonts w:hint="eastAsia" w:cs="宋体" w:asciiTheme="minorEastAsia" w:hAnsiTheme="minorEastAsia"/>
                <w:sz w:val="22"/>
                <w:szCs w:val="22"/>
              </w:rPr>
              <w:t>个用于数据，1个用于语音）</w:t>
            </w:r>
          </w:p>
        </w:tc>
        <w:tc>
          <w:tcPr>
            <w:tcW w:w="1508" w:type="dxa"/>
            <w:shd w:val="clear" w:color="auto" w:fill="auto"/>
            <w:vAlign w:val="center"/>
          </w:tcPr>
          <w:p w14:paraId="153DC1D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w:t>
            </w:r>
            <w:r>
              <w:rPr>
                <w:rFonts w:cs="宋体" w:asciiTheme="minorEastAsia" w:hAnsiTheme="minorEastAsia"/>
                <w:sz w:val="22"/>
                <w:szCs w:val="22"/>
              </w:rPr>
              <w:t>4</w:t>
            </w:r>
            <w:r>
              <w:rPr>
                <w:rFonts w:hint="eastAsia" w:cs="宋体" w:asciiTheme="minorEastAsia" w:hAnsiTheme="minorEastAsia"/>
                <w:sz w:val="22"/>
                <w:szCs w:val="22"/>
              </w:rPr>
              <w:t>个双孔插座（</w:t>
            </w:r>
            <w:r>
              <w:rPr>
                <w:rFonts w:cs="宋体" w:asciiTheme="minorEastAsia" w:hAnsiTheme="minorEastAsia"/>
                <w:sz w:val="22"/>
                <w:szCs w:val="22"/>
              </w:rPr>
              <w:t>6</w:t>
            </w:r>
            <w:r>
              <w:rPr>
                <w:rFonts w:hint="eastAsia" w:cs="宋体" w:asciiTheme="minorEastAsia" w:hAnsiTheme="minorEastAsia"/>
                <w:sz w:val="22"/>
                <w:szCs w:val="22"/>
              </w:rPr>
              <w:t>个用于数据，</w:t>
            </w:r>
            <w:r>
              <w:rPr>
                <w:rFonts w:cs="宋体" w:asciiTheme="minorEastAsia" w:hAnsiTheme="minorEastAsia"/>
                <w:sz w:val="22"/>
                <w:szCs w:val="22"/>
              </w:rPr>
              <w:t>2</w:t>
            </w:r>
            <w:r>
              <w:rPr>
                <w:rFonts w:hint="eastAsia" w:cs="宋体" w:asciiTheme="minorEastAsia" w:hAnsiTheme="minorEastAsia"/>
                <w:sz w:val="22"/>
                <w:szCs w:val="22"/>
              </w:rPr>
              <w:t>个用于语音）</w:t>
            </w:r>
          </w:p>
        </w:tc>
        <w:tc>
          <w:tcPr>
            <w:tcW w:w="1508" w:type="dxa"/>
            <w:shd w:val="clear" w:color="auto" w:fill="auto"/>
            <w:vAlign w:val="center"/>
          </w:tcPr>
          <w:p w14:paraId="7D42D090">
            <w:pPr>
              <w:spacing w:line="240" w:lineRule="auto"/>
              <w:jc w:val="center"/>
              <w:rPr>
                <w:rFonts w:cs="宋体" w:asciiTheme="minorEastAsia" w:hAnsiTheme="minorEastAsia"/>
                <w:sz w:val="22"/>
                <w:szCs w:val="22"/>
              </w:rPr>
            </w:pPr>
            <w:r>
              <w:rPr>
                <w:rFonts w:cs="宋体" w:asciiTheme="minorEastAsia" w:hAnsiTheme="minorEastAsia"/>
                <w:sz w:val="22"/>
                <w:szCs w:val="22"/>
              </w:rPr>
              <w:t>-</w:t>
            </w:r>
          </w:p>
        </w:tc>
        <w:tc>
          <w:tcPr>
            <w:tcW w:w="1509" w:type="dxa"/>
            <w:shd w:val="clear" w:color="auto" w:fill="auto"/>
            <w:vAlign w:val="center"/>
          </w:tcPr>
          <w:p w14:paraId="074814A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3E0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509DDB90">
            <w:pPr>
              <w:spacing w:line="240" w:lineRule="auto"/>
              <w:jc w:val="center"/>
              <w:rPr>
                <w:rFonts w:cs="宋体" w:asciiTheme="minorEastAsia" w:hAnsiTheme="minorEastAsia"/>
                <w:sz w:val="22"/>
                <w:szCs w:val="22"/>
              </w:rPr>
            </w:pPr>
          </w:p>
        </w:tc>
        <w:tc>
          <w:tcPr>
            <w:tcW w:w="1275" w:type="dxa"/>
            <w:shd w:val="clear" w:color="auto" w:fill="auto"/>
            <w:vAlign w:val="center"/>
          </w:tcPr>
          <w:p w14:paraId="52FD113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主任办公室</w:t>
            </w:r>
          </w:p>
        </w:tc>
        <w:tc>
          <w:tcPr>
            <w:tcW w:w="1508" w:type="dxa"/>
            <w:shd w:val="clear" w:color="auto" w:fill="auto"/>
            <w:vAlign w:val="center"/>
          </w:tcPr>
          <w:p w14:paraId="518AF02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5A2CF63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设置1个双孔及1个单孔插座（</w:t>
            </w:r>
            <w:r>
              <w:rPr>
                <w:rFonts w:cs="宋体" w:asciiTheme="minorEastAsia" w:hAnsiTheme="minorEastAsia"/>
                <w:sz w:val="22"/>
                <w:szCs w:val="22"/>
              </w:rPr>
              <w:t>2</w:t>
            </w:r>
            <w:r>
              <w:rPr>
                <w:rFonts w:hint="eastAsia" w:cs="宋体" w:asciiTheme="minorEastAsia" w:hAnsiTheme="minorEastAsia"/>
                <w:sz w:val="22"/>
                <w:szCs w:val="22"/>
              </w:rPr>
              <w:t>个数据，1个语音）</w:t>
            </w:r>
          </w:p>
        </w:tc>
        <w:tc>
          <w:tcPr>
            <w:tcW w:w="1508" w:type="dxa"/>
            <w:shd w:val="clear" w:color="auto" w:fill="auto"/>
            <w:vAlign w:val="center"/>
          </w:tcPr>
          <w:p w14:paraId="09ED9BB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w:t>
            </w:r>
            <w:r>
              <w:rPr>
                <w:rFonts w:cs="宋体" w:asciiTheme="minorEastAsia" w:hAnsiTheme="minorEastAsia"/>
                <w:sz w:val="22"/>
                <w:szCs w:val="22"/>
              </w:rPr>
              <w:t>2</w:t>
            </w:r>
            <w:r>
              <w:rPr>
                <w:rFonts w:hint="eastAsia" w:cs="宋体" w:asciiTheme="minorEastAsia" w:hAnsiTheme="minorEastAsia"/>
                <w:sz w:val="22"/>
                <w:szCs w:val="22"/>
              </w:rPr>
              <w:t>个双孔插座（</w:t>
            </w:r>
            <w:r>
              <w:rPr>
                <w:rFonts w:cs="宋体" w:asciiTheme="minorEastAsia" w:hAnsiTheme="minorEastAsia"/>
                <w:sz w:val="22"/>
                <w:szCs w:val="22"/>
              </w:rPr>
              <w:t>2</w:t>
            </w:r>
            <w:r>
              <w:rPr>
                <w:rFonts w:hint="eastAsia" w:cs="宋体" w:asciiTheme="minorEastAsia" w:hAnsiTheme="minorEastAsia"/>
                <w:sz w:val="22"/>
                <w:szCs w:val="22"/>
              </w:rPr>
              <w:t>个数据，</w:t>
            </w:r>
            <w:r>
              <w:rPr>
                <w:rFonts w:cs="宋体" w:asciiTheme="minorEastAsia" w:hAnsiTheme="minorEastAsia"/>
                <w:sz w:val="22"/>
                <w:szCs w:val="22"/>
              </w:rPr>
              <w:t>2</w:t>
            </w:r>
            <w:r>
              <w:rPr>
                <w:rFonts w:hint="eastAsia" w:cs="宋体" w:asciiTheme="minorEastAsia" w:hAnsiTheme="minorEastAsia"/>
                <w:sz w:val="22"/>
                <w:szCs w:val="22"/>
              </w:rPr>
              <w:t>个语音）</w:t>
            </w:r>
          </w:p>
        </w:tc>
        <w:tc>
          <w:tcPr>
            <w:tcW w:w="1509" w:type="dxa"/>
            <w:vMerge w:val="restart"/>
            <w:shd w:val="clear" w:color="auto" w:fill="auto"/>
            <w:vAlign w:val="center"/>
          </w:tcPr>
          <w:p w14:paraId="7B7B236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数据分别用于内网和互联网</w:t>
            </w:r>
          </w:p>
        </w:tc>
      </w:tr>
      <w:tr w14:paraId="02D7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47339A99">
            <w:pPr>
              <w:spacing w:line="240" w:lineRule="auto"/>
              <w:jc w:val="center"/>
              <w:rPr>
                <w:rFonts w:cs="宋体" w:asciiTheme="minorEastAsia" w:hAnsiTheme="minorEastAsia"/>
                <w:sz w:val="22"/>
                <w:szCs w:val="22"/>
              </w:rPr>
            </w:pPr>
          </w:p>
        </w:tc>
        <w:tc>
          <w:tcPr>
            <w:tcW w:w="1275" w:type="dxa"/>
            <w:shd w:val="clear" w:color="auto" w:fill="auto"/>
            <w:vAlign w:val="center"/>
          </w:tcPr>
          <w:p w14:paraId="21BEC1B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教授及</w:t>
            </w:r>
            <w:r>
              <w:rPr>
                <w:rFonts w:cs="宋体" w:asciiTheme="minorEastAsia" w:hAnsiTheme="minorEastAsia"/>
                <w:sz w:val="22"/>
                <w:szCs w:val="22"/>
              </w:rPr>
              <w:br w:type="textWrapping"/>
            </w:r>
            <w:r>
              <w:rPr>
                <w:rFonts w:hint="eastAsia" w:cs="宋体" w:asciiTheme="minorEastAsia" w:hAnsiTheme="minorEastAsia"/>
                <w:sz w:val="22"/>
                <w:szCs w:val="22"/>
              </w:rPr>
              <w:t>护士长</w:t>
            </w:r>
          </w:p>
        </w:tc>
        <w:tc>
          <w:tcPr>
            <w:tcW w:w="1508" w:type="dxa"/>
            <w:shd w:val="clear" w:color="auto" w:fill="auto"/>
            <w:vAlign w:val="center"/>
          </w:tcPr>
          <w:p w14:paraId="2E1B478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6794C88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设置1个双孔及1个单孔插座（</w:t>
            </w:r>
            <w:r>
              <w:rPr>
                <w:rFonts w:cs="宋体" w:asciiTheme="minorEastAsia" w:hAnsiTheme="minorEastAsia"/>
                <w:sz w:val="22"/>
                <w:szCs w:val="22"/>
              </w:rPr>
              <w:t>2</w:t>
            </w:r>
            <w:r>
              <w:rPr>
                <w:rFonts w:hint="eastAsia" w:cs="宋体" w:asciiTheme="minorEastAsia" w:hAnsiTheme="minorEastAsia"/>
                <w:sz w:val="22"/>
                <w:szCs w:val="22"/>
              </w:rPr>
              <w:t>个数据，1个语音）</w:t>
            </w:r>
          </w:p>
        </w:tc>
        <w:tc>
          <w:tcPr>
            <w:tcW w:w="1508" w:type="dxa"/>
            <w:shd w:val="clear" w:color="auto" w:fill="auto"/>
            <w:vAlign w:val="center"/>
          </w:tcPr>
          <w:p w14:paraId="51DE013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vMerge w:val="continue"/>
            <w:shd w:val="clear" w:color="auto" w:fill="auto"/>
            <w:vAlign w:val="center"/>
          </w:tcPr>
          <w:p w14:paraId="4CE185D4">
            <w:pPr>
              <w:spacing w:line="240" w:lineRule="auto"/>
              <w:jc w:val="center"/>
              <w:rPr>
                <w:rFonts w:cs="宋体" w:asciiTheme="minorEastAsia" w:hAnsiTheme="minorEastAsia"/>
                <w:sz w:val="22"/>
                <w:szCs w:val="22"/>
              </w:rPr>
            </w:pPr>
          </w:p>
        </w:tc>
      </w:tr>
      <w:tr w14:paraId="1AAA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313634F0">
            <w:pPr>
              <w:spacing w:line="240" w:lineRule="auto"/>
              <w:jc w:val="center"/>
              <w:rPr>
                <w:rFonts w:cs="宋体" w:asciiTheme="minorEastAsia" w:hAnsiTheme="minorEastAsia"/>
                <w:sz w:val="22"/>
                <w:szCs w:val="22"/>
              </w:rPr>
            </w:pPr>
          </w:p>
        </w:tc>
        <w:tc>
          <w:tcPr>
            <w:tcW w:w="1275" w:type="dxa"/>
            <w:shd w:val="clear" w:color="auto" w:fill="auto"/>
            <w:vAlign w:val="center"/>
          </w:tcPr>
          <w:p w14:paraId="0799B1B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医生办公室</w:t>
            </w:r>
          </w:p>
        </w:tc>
        <w:tc>
          <w:tcPr>
            <w:tcW w:w="1508" w:type="dxa"/>
            <w:shd w:val="clear" w:color="auto" w:fill="auto"/>
            <w:vAlign w:val="center"/>
          </w:tcPr>
          <w:p w14:paraId="2E443BE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每个医生设置1个单孔插座用于数据，另外再设置1个双孔插座（1个数据，1个语音）</w:t>
            </w:r>
          </w:p>
        </w:tc>
        <w:tc>
          <w:tcPr>
            <w:tcW w:w="1508" w:type="dxa"/>
            <w:shd w:val="clear" w:color="auto" w:fill="auto"/>
            <w:vAlign w:val="center"/>
          </w:tcPr>
          <w:p w14:paraId="0ABB1F7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每个医生设置1个双孔插座（1个数据，1个语音），另外再设置1个双孔插座（均用于数据）</w:t>
            </w:r>
          </w:p>
        </w:tc>
        <w:tc>
          <w:tcPr>
            <w:tcW w:w="1508" w:type="dxa"/>
            <w:shd w:val="clear" w:color="auto" w:fill="auto"/>
            <w:vAlign w:val="center"/>
          </w:tcPr>
          <w:p w14:paraId="47B37040">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49E6146D">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4BCE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189F9B6A">
            <w:pPr>
              <w:spacing w:line="240" w:lineRule="auto"/>
              <w:jc w:val="center"/>
              <w:rPr>
                <w:rFonts w:cs="宋体" w:asciiTheme="minorEastAsia" w:hAnsiTheme="minorEastAsia"/>
                <w:sz w:val="22"/>
                <w:szCs w:val="22"/>
              </w:rPr>
            </w:pPr>
          </w:p>
        </w:tc>
        <w:tc>
          <w:tcPr>
            <w:tcW w:w="1275" w:type="dxa"/>
            <w:shd w:val="clear" w:color="auto" w:fill="auto"/>
            <w:vAlign w:val="center"/>
          </w:tcPr>
          <w:p w14:paraId="3E19E6C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处置室、</w:t>
            </w:r>
            <w:r>
              <w:rPr>
                <w:rFonts w:cs="宋体" w:asciiTheme="minorEastAsia" w:hAnsiTheme="minorEastAsia"/>
                <w:sz w:val="22"/>
                <w:szCs w:val="22"/>
              </w:rPr>
              <w:br w:type="textWrapping"/>
            </w:r>
            <w:r>
              <w:rPr>
                <w:rFonts w:hint="eastAsia" w:cs="宋体" w:asciiTheme="minorEastAsia" w:hAnsiTheme="minorEastAsia"/>
                <w:sz w:val="22"/>
                <w:szCs w:val="22"/>
              </w:rPr>
              <w:t>治疗室、</w:t>
            </w:r>
            <w:r>
              <w:rPr>
                <w:rFonts w:cs="宋体" w:asciiTheme="minorEastAsia" w:hAnsiTheme="minorEastAsia"/>
                <w:sz w:val="22"/>
                <w:szCs w:val="22"/>
              </w:rPr>
              <w:br w:type="textWrapping"/>
            </w:r>
            <w:r>
              <w:rPr>
                <w:rFonts w:hint="eastAsia" w:cs="宋体" w:asciiTheme="minorEastAsia" w:hAnsiTheme="minorEastAsia"/>
                <w:sz w:val="22"/>
                <w:szCs w:val="22"/>
              </w:rPr>
              <w:t>倒班宿舍</w:t>
            </w:r>
          </w:p>
        </w:tc>
        <w:tc>
          <w:tcPr>
            <w:tcW w:w="1508" w:type="dxa"/>
            <w:shd w:val="clear" w:color="auto" w:fill="auto"/>
            <w:vAlign w:val="center"/>
          </w:tcPr>
          <w:p w14:paraId="02B7661E">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设置1个单孔插座（用于语音）</w:t>
            </w:r>
          </w:p>
        </w:tc>
        <w:tc>
          <w:tcPr>
            <w:tcW w:w="1508" w:type="dxa"/>
            <w:shd w:val="clear" w:color="auto" w:fill="auto"/>
            <w:vAlign w:val="center"/>
          </w:tcPr>
          <w:p w14:paraId="50D5501C">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226F196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1B2DEC4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r>
      <w:tr w14:paraId="28B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55B624FF">
            <w:pPr>
              <w:spacing w:line="240" w:lineRule="auto"/>
              <w:jc w:val="center"/>
              <w:rPr>
                <w:rFonts w:cs="宋体" w:asciiTheme="minorEastAsia" w:hAnsiTheme="minorEastAsia"/>
                <w:sz w:val="22"/>
                <w:szCs w:val="22"/>
              </w:rPr>
            </w:pPr>
          </w:p>
        </w:tc>
        <w:tc>
          <w:tcPr>
            <w:tcW w:w="1275" w:type="dxa"/>
            <w:shd w:val="clear" w:color="auto" w:fill="auto"/>
            <w:vAlign w:val="center"/>
          </w:tcPr>
          <w:p w14:paraId="47B61E7B">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示教室</w:t>
            </w:r>
          </w:p>
        </w:tc>
        <w:tc>
          <w:tcPr>
            <w:tcW w:w="1508" w:type="dxa"/>
            <w:shd w:val="clear" w:color="auto" w:fill="auto"/>
            <w:vAlign w:val="center"/>
          </w:tcPr>
          <w:p w14:paraId="30BC385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w:t>
            </w:r>
            <w:r>
              <w:rPr>
                <w:rFonts w:cs="宋体" w:asciiTheme="minorEastAsia" w:hAnsiTheme="minorEastAsia"/>
                <w:sz w:val="22"/>
                <w:szCs w:val="22"/>
              </w:rPr>
              <w:t>2</w:t>
            </w:r>
            <w:r>
              <w:rPr>
                <w:rFonts w:hint="eastAsia" w:cs="宋体" w:asciiTheme="minorEastAsia" w:hAnsiTheme="minorEastAsia"/>
                <w:sz w:val="22"/>
                <w:szCs w:val="22"/>
              </w:rPr>
              <w:t>个双孔插座（</w:t>
            </w:r>
            <w:r>
              <w:rPr>
                <w:rFonts w:cs="宋体" w:asciiTheme="minorEastAsia" w:hAnsiTheme="minorEastAsia"/>
                <w:sz w:val="22"/>
                <w:szCs w:val="22"/>
              </w:rPr>
              <w:t>3</w:t>
            </w:r>
            <w:r>
              <w:rPr>
                <w:rFonts w:hint="eastAsia" w:cs="宋体" w:asciiTheme="minorEastAsia" w:hAnsiTheme="minorEastAsia"/>
                <w:sz w:val="22"/>
                <w:szCs w:val="22"/>
              </w:rPr>
              <w:t>个用于数据，1个用于语音）</w:t>
            </w:r>
          </w:p>
        </w:tc>
        <w:tc>
          <w:tcPr>
            <w:tcW w:w="1508" w:type="dxa"/>
            <w:shd w:val="clear" w:color="auto" w:fill="auto"/>
            <w:vAlign w:val="center"/>
          </w:tcPr>
          <w:p w14:paraId="3FCA2B6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49F031C3">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9" w:type="dxa"/>
            <w:shd w:val="clear" w:color="auto" w:fill="auto"/>
            <w:vAlign w:val="center"/>
          </w:tcPr>
          <w:p w14:paraId="1EB1DEC8">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其中1个数据用于互联网</w:t>
            </w:r>
          </w:p>
        </w:tc>
      </w:tr>
      <w:tr w14:paraId="01C6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vMerge w:val="continue"/>
            <w:shd w:val="clear" w:color="auto" w:fill="auto"/>
            <w:vAlign w:val="center"/>
          </w:tcPr>
          <w:p w14:paraId="5F25ABCD">
            <w:pPr>
              <w:spacing w:line="240" w:lineRule="auto"/>
              <w:jc w:val="center"/>
              <w:rPr>
                <w:rFonts w:cs="宋体" w:asciiTheme="minorEastAsia" w:hAnsiTheme="minorEastAsia"/>
                <w:sz w:val="22"/>
                <w:szCs w:val="22"/>
              </w:rPr>
            </w:pPr>
          </w:p>
        </w:tc>
        <w:tc>
          <w:tcPr>
            <w:tcW w:w="1275" w:type="dxa"/>
            <w:shd w:val="clear" w:color="auto" w:fill="auto"/>
            <w:vAlign w:val="center"/>
          </w:tcPr>
          <w:p w14:paraId="433CC79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护理区</w:t>
            </w:r>
            <w:r>
              <w:rPr>
                <w:rFonts w:cs="宋体" w:asciiTheme="minorEastAsia" w:hAnsiTheme="minorEastAsia"/>
                <w:sz w:val="22"/>
                <w:szCs w:val="22"/>
              </w:rPr>
              <w:br w:type="textWrapping"/>
            </w:r>
            <w:r>
              <w:rPr>
                <w:rFonts w:hint="eastAsia" w:cs="宋体" w:asciiTheme="minorEastAsia" w:hAnsiTheme="minorEastAsia"/>
                <w:sz w:val="22"/>
                <w:szCs w:val="22"/>
              </w:rPr>
              <w:t>无线覆盖</w:t>
            </w:r>
          </w:p>
        </w:tc>
        <w:tc>
          <w:tcPr>
            <w:tcW w:w="1508" w:type="dxa"/>
            <w:shd w:val="clear" w:color="auto" w:fill="auto"/>
            <w:vAlign w:val="center"/>
          </w:tcPr>
          <w:p w14:paraId="0DC0D554">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39C4AE37">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w:t>
            </w:r>
          </w:p>
        </w:tc>
        <w:tc>
          <w:tcPr>
            <w:tcW w:w="1508" w:type="dxa"/>
            <w:shd w:val="clear" w:color="auto" w:fill="auto"/>
            <w:vAlign w:val="center"/>
          </w:tcPr>
          <w:p w14:paraId="495C3E6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在护理单元内设置相应的无线A</w:t>
            </w:r>
            <w:r>
              <w:rPr>
                <w:rFonts w:cs="宋体" w:asciiTheme="minorEastAsia" w:hAnsiTheme="minorEastAsia"/>
                <w:sz w:val="22"/>
                <w:szCs w:val="22"/>
              </w:rPr>
              <w:t>P</w:t>
            </w:r>
            <w:r>
              <w:rPr>
                <w:rFonts w:hint="eastAsia" w:cs="宋体" w:asciiTheme="minorEastAsia" w:hAnsiTheme="minorEastAsia"/>
                <w:sz w:val="22"/>
                <w:szCs w:val="22"/>
              </w:rPr>
              <w:t>点</w:t>
            </w:r>
          </w:p>
        </w:tc>
        <w:tc>
          <w:tcPr>
            <w:tcW w:w="1509" w:type="dxa"/>
            <w:shd w:val="clear" w:color="auto" w:fill="auto"/>
            <w:vAlign w:val="center"/>
          </w:tcPr>
          <w:p w14:paraId="72D21D99">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对于无线查房的特殊应用</w:t>
            </w:r>
          </w:p>
        </w:tc>
      </w:tr>
      <w:tr w14:paraId="4749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shd w:val="clear" w:color="auto" w:fill="auto"/>
            <w:vAlign w:val="center"/>
          </w:tcPr>
          <w:p w14:paraId="36744702">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公共</w:t>
            </w:r>
            <w:r>
              <w:rPr>
                <w:rFonts w:cs="宋体" w:asciiTheme="minorEastAsia" w:hAnsiTheme="minorEastAsia"/>
                <w:sz w:val="22"/>
                <w:szCs w:val="22"/>
              </w:rPr>
              <w:br w:type="textWrapping"/>
            </w:r>
            <w:r>
              <w:rPr>
                <w:rFonts w:hint="eastAsia" w:cs="宋体" w:asciiTheme="minorEastAsia" w:hAnsiTheme="minorEastAsia"/>
                <w:sz w:val="22"/>
                <w:szCs w:val="22"/>
              </w:rPr>
              <w:t>区域</w:t>
            </w:r>
          </w:p>
        </w:tc>
        <w:tc>
          <w:tcPr>
            <w:tcW w:w="1275" w:type="dxa"/>
            <w:shd w:val="clear" w:color="auto" w:fill="auto"/>
            <w:vAlign w:val="center"/>
          </w:tcPr>
          <w:p w14:paraId="25D4E701">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门诊、医技及病房部</w:t>
            </w:r>
          </w:p>
        </w:tc>
        <w:tc>
          <w:tcPr>
            <w:tcW w:w="1508" w:type="dxa"/>
            <w:shd w:val="clear" w:color="auto" w:fill="auto"/>
            <w:vAlign w:val="center"/>
          </w:tcPr>
          <w:p w14:paraId="73AEE295">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设置相应数量的单孔插座用于</w:t>
            </w:r>
            <w:r>
              <w:rPr>
                <w:rFonts w:hint="eastAsia" w:cs="宋体" w:asciiTheme="minorEastAsia" w:hAnsiTheme="minorEastAsia"/>
                <w:sz w:val="22"/>
                <w:szCs w:val="22"/>
                <w:u w:val="single"/>
              </w:rPr>
              <w:t>数据</w:t>
            </w:r>
            <w:r>
              <w:rPr>
                <w:rFonts w:hint="eastAsia" w:asciiTheme="minorEastAsia" w:hAnsiTheme="minorEastAsia"/>
                <w:sz w:val="22"/>
                <w:szCs w:val="30"/>
                <w:bdr w:val="single" w:color="auto" w:sz="4" w:space="0"/>
              </w:rPr>
              <w:t>语音（公共电话）</w:t>
            </w:r>
          </w:p>
        </w:tc>
        <w:tc>
          <w:tcPr>
            <w:tcW w:w="1508" w:type="dxa"/>
            <w:shd w:val="clear" w:color="auto" w:fill="auto"/>
            <w:vAlign w:val="center"/>
          </w:tcPr>
          <w:p w14:paraId="17376A70">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设置相应数量的</w:t>
            </w:r>
            <w:r>
              <w:rPr>
                <w:rFonts w:hint="eastAsia" w:asciiTheme="minorEastAsia" w:hAnsiTheme="minorEastAsia"/>
                <w:sz w:val="22"/>
                <w:szCs w:val="30"/>
                <w:bdr w:val="single" w:color="auto" w:sz="4" w:space="0"/>
              </w:rPr>
              <w:t>双</w:t>
            </w:r>
            <w:r>
              <w:rPr>
                <w:rFonts w:hint="eastAsia" w:cs="宋体" w:asciiTheme="minorEastAsia" w:hAnsiTheme="minorEastAsia"/>
                <w:sz w:val="22"/>
                <w:szCs w:val="22"/>
                <w:u w:val="single"/>
              </w:rPr>
              <w:t>单</w:t>
            </w:r>
            <w:r>
              <w:rPr>
                <w:rFonts w:hint="eastAsia" w:cs="宋体" w:asciiTheme="minorEastAsia" w:hAnsiTheme="minorEastAsia"/>
                <w:sz w:val="22"/>
                <w:szCs w:val="22"/>
              </w:rPr>
              <w:t>孔插座（</w:t>
            </w:r>
            <w:r>
              <w:rPr>
                <w:rFonts w:hint="eastAsia" w:asciiTheme="minorEastAsia" w:hAnsiTheme="minorEastAsia"/>
                <w:sz w:val="22"/>
                <w:szCs w:val="30"/>
                <w:bdr w:val="single" w:color="auto" w:sz="4" w:space="0"/>
              </w:rPr>
              <w:t>1个</w:t>
            </w:r>
            <w:r>
              <w:rPr>
                <w:rFonts w:hint="eastAsia" w:cs="宋体" w:asciiTheme="minorEastAsia" w:hAnsiTheme="minorEastAsia"/>
                <w:sz w:val="22"/>
                <w:szCs w:val="22"/>
              </w:rPr>
              <w:t>用于数据</w:t>
            </w:r>
            <w:r>
              <w:rPr>
                <w:rFonts w:hint="eastAsia" w:asciiTheme="minorEastAsia" w:hAnsiTheme="minorEastAsia"/>
                <w:sz w:val="22"/>
                <w:szCs w:val="30"/>
                <w:bdr w:val="single" w:color="auto" w:sz="4" w:space="0"/>
              </w:rPr>
              <w:t>，1个用于语音</w:t>
            </w:r>
            <w:r>
              <w:rPr>
                <w:rFonts w:hint="eastAsia" w:cs="宋体" w:asciiTheme="minorEastAsia" w:hAnsiTheme="minorEastAsia"/>
                <w:sz w:val="22"/>
                <w:szCs w:val="22"/>
              </w:rPr>
              <w:t>）解决信息发布及查询</w:t>
            </w:r>
            <w:r>
              <w:rPr>
                <w:rFonts w:hint="eastAsia" w:asciiTheme="minorEastAsia" w:hAnsiTheme="minorEastAsia"/>
                <w:sz w:val="22"/>
                <w:szCs w:val="30"/>
                <w:bdr w:val="single" w:color="auto" w:sz="4" w:space="0"/>
              </w:rPr>
              <w:t>、公用电话</w:t>
            </w:r>
            <w:r>
              <w:rPr>
                <w:rFonts w:hint="eastAsia" w:cs="宋体" w:asciiTheme="minorEastAsia" w:hAnsiTheme="minorEastAsia"/>
                <w:sz w:val="22"/>
                <w:szCs w:val="22"/>
              </w:rPr>
              <w:t>的需求</w:t>
            </w:r>
          </w:p>
        </w:tc>
        <w:tc>
          <w:tcPr>
            <w:tcW w:w="1508" w:type="dxa"/>
            <w:shd w:val="clear" w:color="auto" w:fill="auto"/>
            <w:vAlign w:val="center"/>
          </w:tcPr>
          <w:p w14:paraId="43FB0B5A">
            <w:pPr>
              <w:spacing w:line="240" w:lineRule="auto"/>
              <w:jc w:val="center"/>
              <w:rPr>
                <w:rFonts w:cs="宋体" w:asciiTheme="minorEastAsia" w:hAnsiTheme="minorEastAsia"/>
                <w:sz w:val="22"/>
                <w:szCs w:val="22"/>
              </w:rPr>
            </w:pPr>
            <w:r>
              <w:rPr>
                <w:rFonts w:hint="eastAsia" w:cs="宋体" w:asciiTheme="minorEastAsia" w:hAnsiTheme="minorEastAsia"/>
                <w:sz w:val="22"/>
                <w:szCs w:val="22"/>
              </w:rPr>
              <w:t>根据使用需求，局部做到无线网络覆盖（会议室等）</w:t>
            </w:r>
          </w:p>
        </w:tc>
        <w:tc>
          <w:tcPr>
            <w:tcW w:w="1509" w:type="dxa"/>
            <w:shd w:val="clear" w:color="auto" w:fill="auto"/>
            <w:vAlign w:val="center"/>
          </w:tcPr>
          <w:p w14:paraId="10EF4C2C">
            <w:pPr>
              <w:spacing w:line="240" w:lineRule="auto"/>
              <w:jc w:val="center"/>
              <w:rPr>
                <w:rFonts w:cs="宋体" w:asciiTheme="minorEastAsia" w:hAnsiTheme="minorEastAsia"/>
                <w:sz w:val="22"/>
                <w:szCs w:val="22"/>
              </w:rPr>
            </w:pPr>
          </w:p>
        </w:tc>
      </w:tr>
    </w:tbl>
    <w:p w14:paraId="79BA261B">
      <w:pPr>
        <w:spacing w:before="312" w:beforeLines="100"/>
        <w:rPr>
          <w:rFonts w:cs="宋体" w:asciiTheme="minorEastAsia" w:hAnsiTheme="minorEastAsia"/>
          <w:bCs/>
        </w:rPr>
      </w:pPr>
      <w:r>
        <w:rPr>
          <w:rFonts w:cs="宋体" w:asciiTheme="minorEastAsia" w:hAnsiTheme="minorEastAsia"/>
          <w:bCs/>
        </w:rPr>
        <w:t xml:space="preserve">9.2.5 </w:t>
      </w:r>
      <w:r>
        <w:rPr>
          <w:rFonts w:hint="eastAsia" w:cs="宋体" w:asciiTheme="minorEastAsia" w:hAnsiTheme="minorEastAsia"/>
          <w:bCs/>
        </w:rPr>
        <w:t>目前，我国</w:t>
      </w:r>
      <w:r>
        <w:rPr>
          <w:rFonts w:hint="eastAsia" w:cs="宋体" w:asciiTheme="minorEastAsia" w:hAnsiTheme="minorEastAsia"/>
          <w:bCs/>
          <w:u w:val="single"/>
        </w:rPr>
        <w:t>移动通讯</w:t>
      </w:r>
      <w:r>
        <w:rPr>
          <w:rFonts w:hint="eastAsia" w:cs="宋体" w:asciiTheme="minorEastAsia" w:hAnsiTheme="minorEastAsia"/>
          <w:bCs/>
        </w:rPr>
        <w:t>室内</w:t>
      </w:r>
      <w:r>
        <w:rPr>
          <w:rFonts w:hint="eastAsia" w:cs="宋体" w:asciiTheme="minorEastAsia" w:hAnsiTheme="minorEastAsia"/>
          <w:kern w:val="0"/>
          <w:bdr w:val="single" w:color="auto" w:sz="4" w:space="0"/>
        </w:rPr>
        <w:t>移动通讯</w:t>
      </w:r>
      <w:r>
        <w:rPr>
          <w:rFonts w:hint="eastAsia" w:cs="宋体" w:asciiTheme="minorEastAsia" w:hAnsiTheme="minorEastAsia"/>
          <w:bCs/>
          <w:u w:val="single"/>
        </w:rPr>
        <w:t>信号</w:t>
      </w:r>
      <w:r>
        <w:rPr>
          <w:rFonts w:hint="eastAsia" w:cs="宋体" w:asciiTheme="minorEastAsia" w:hAnsiTheme="minorEastAsia"/>
          <w:bCs/>
        </w:rPr>
        <w:t>覆盖系统一般由电信运营商完成深化设计，并提供设备和施工安装。因此在工程设计中，如设置</w:t>
      </w:r>
      <w:r>
        <w:rPr>
          <w:rFonts w:hint="eastAsia" w:cs="宋体" w:asciiTheme="minorEastAsia" w:hAnsiTheme="minorEastAsia"/>
          <w:bCs/>
          <w:u w:val="single"/>
        </w:rPr>
        <w:t>移动通讯</w:t>
      </w:r>
      <w:r>
        <w:rPr>
          <w:rFonts w:hint="eastAsia" w:cs="宋体" w:asciiTheme="minorEastAsia" w:hAnsiTheme="minorEastAsia"/>
          <w:bCs/>
        </w:rPr>
        <w:t>室内</w:t>
      </w:r>
      <w:r>
        <w:rPr>
          <w:rFonts w:hint="eastAsia" w:cs="宋体" w:asciiTheme="minorEastAsia" w:hAnsiTheme="minorEastAsia"/>
          <w:kern w:val="0"/>
          <w:bdr w:val="single" w:color="auto" w:sz="4" w:space="0"/>
        </w:rPr>
        <w:t>移动通讯</w:t>
      </w:r>
      <w:r>
        <w:rPr>
          <w:rFonts w:hint="eastAsia" w:cs="宋体" w:asciiTheme="minorEastAsia" w:hAnsiTheme="minorEastAsia"/>
          <w:bCs/>
          <w:u w:val="single"/>
        </w:rPr>
        <w:t>信号</w:t>
      </w:r>
      <w:r>
        <w:rPr>
          <w:rFonts w:hint="eastAsia" w:cs="宋体" w:asciiTheme="minorEastAsia" w:hAnsiTheme="minorEastAsia"/>
          <w:bCs/>
        </w:rPr>
        <w:t>覆盖系统时，仅考虑预留路由及设备安装空间。</w:t>
      </w:r>
    </w:p>
    <w:p w14:paraId="7554C5ED">
      <w:pPr>
        <w:widowControl/>
        <w:spacing w:before="312" w:beforeLines="100"/>
        <w:jc w:val="left"/>
        <w:rPr>
          <w:rFonts w:cs="宋体" w:asciiTheme="minorEastAsia" w:hAnsiTheme="minorEastAsia"/>
          <w:kern w:val="0"/>
        </w:rPr>
      </w:pPr>
      <w:r>
        <w:rPr>
          <w:rFonts w:hint="eastAsia" w:cs="宋体" w:asciiTheme="minorEastAsia" w:hAnsiTheme="minorEastAsia"/>
          <w:kern w:val="0"/>
        </w:rPr>
        <w:t>9.2.7</w:t>
      </w:r>
      <w:r>
        <w:rPr>
          <w:rFonts w:cs="宋体" w:asciiTheme="minorEastAsia" w:hAnsiTheme="minorEastAsia"/>
          <w:kern w:val="0"/>
        </w:rPr>
        <w:t xml:space="preserve"> </w:t>
      </w:r>
      <w:r>
        <w:rPr>
          <w:rFonts w:hint="eastAsia" w:cs="宋体" w:asciiTheme="minorEastAsia" w:hAnsiTheme="minorEastAsia"/>
          <w:kern w:val="0"/>
        </w:rPr>
        <w:t>本条规定不要求必须设置有线电视系统。当设置时，终端点的布置可根据实际情况进行选择。</w:t>
      </w:r>
      <w:r>
        <w:rPr>
          <w:rFonts w:hint="eastAsia" w:cs="宋体" w:asciiTheme="minorEastAsia" w:hAnsiTheme="minorEastAsia"/>
          <w:kern w:val="0"/>
          <w:bdr w:val="single" w:color="auto" w:sz="4" w:space="0"/>
        </w:rPr>
        <w:t>采用电视伴音系统是为了提供患者耳机收听，防止相互干扰，影响其他患者休息。</w:t>
      </w:r>
    </w:p>
    <w:p w14:paraId="503A197F">
      <w:pPr>
        <w:spacing w:before="312" w:beforeLines="100"/>
        <w:rPr>
          <w:rFonts w:cs="宋体" w:asciiTheme="minorEastAsia" w:hAnsiTheme="minorEastAsia"/>
          <w:bCs/>
          <w:sz w:val="32"/>
          <w:szCs w:val="32"/>
        </w:rPr>
      </w:pPr>
      <w:r>
        <w:rPr>
          <w:rFonts w:hint="eastAsia" w:asciiTheme="minorEastAsia" w:hAnsiTheme="minorEastAsia"/>
          <w:szCs w:val="28"/>
          <w:u w:val="single"/>
        </w:rPr>
        <w:t>9.2.1</w:t>
      </w:r>
      <w:r>
        <w:rPr>
          <w:rFonts w:asciiTheme="minorEastAsia" w:hAnsiTheme="minorEastAsia"/>
          <w:szCs w:val="28"/>
          <w:u w:val="single"/>
        </w:rPr>
        <w:t>1</w:t>
      </w:r>
      <w:r>
        <w:rPr>
          <w:rFonts w:hint="eastAsia" w:asciiTheme="minorEastAsia" w:hAnsiTheme="minorEastAsia"/>
          <w:szCs w:val="28"/>
          <w:u w:val="single"/>
        </w:rPr>
        <w:t xml:space="preserve"> 远程会诊系统可以使大医院的优势医疗资源下沉到社区医院及偏远山区，提高这些机构的医疗水平，因此建议设置此系统。</w:t>
      </w:r>
    </w:p>
    <w:p w14:paraId="5FF0F57A">
      <w:pPr>
        <w:spacing w:before="312" w:beforeLines="100"/>
        <w:rPr>
          <w:rFonts w:cs="宋体" w:asciiTheme="minorEastAsia" w:hAnsiTheme="minorEastAsia"/>
          <w:bCs/>
          <w:sz w:val="32"/>
          <w:szCs w:val="32"/>
        </w:rPr>
      </w:pPr>
      <w:bookmarkStart w:id="94" w:name="_Toc85880793"/>
      <w:r>
        <w:rPr>
          <w:rFonts w:hint="eastAsia" w:asciiTheme="minorEastAsia" w:hAnsiTheme="minorEastAsia"/>
          <w:szCs w:val="28"/>
          <w:u w:val="single"/>
        </w:rPr>
        <w:t>9.2.1</w:t>
      </w:r>
      <w:r>
        <w:rPr>
          <w:rFonts w:asciiTheme="minorEastAsia" w:hAnsiTheme="minorEastAsia"/>
          <w:szCs w:val="28"/>
          <w:u w:val="single"/>
        </w:rPr>
        <w:t>2</w:t>
      </w:r>
      <w:r>
        <w:rPr>
          <w:rFonts w:hint="eastAsia" w:asciiTheme="minorEastAsia" w:hAnsiTheme="minorEastAsia"/>
          <w:szCs w:val="28"/>
          <w:u w:val="single"/>
        </w:rPr>
        <w:t xml:space="preserve"> 当前医疗物联网应用处于蓬勃的发展阶段，实现的技术手段和应用平台种类繁多，设计应结合医院的实际管理需求设计适合医院管理水平的物联网应用系统，基础网络应具备扩展性，满足将来增加系统的需求。</w:t>
      </w:r>
    </w:p>
    <w:p w14:paraId="3A062914">
      <w:pPr>
        <w:spacing w:before="312" w:beforeLines="100" w:after="156" w:afterLines="50"/>
        <w:jc w:val="center"/>
        <w:outlineLvl w:val="2"/>
        <w:rPr>
          <w:rFonts w:asciiTheme="minorEastAsia" w:hAnsiTheme="minorEastAsia"/>
          <w:b/>
          <w:bCs/>
          <w:sz w:val="28"/>
          <w:szCs w:val="28"/>
        </w:rPr>
      </w:pPr>
      <w:r>
        <w:rPr>
          <w:rFonts w:hint="eastAsia" w:asciiTheme="minorEastAsia" w:hAnsiTheme="minorEastAsia"/>
          <w:b/>
          <w:bCs/>
          <w:sz w:val="28"/>
          <w:szCs w:val="28"/>
        </w:rPr>
        <w:t>9.3 信息化应用系统</w:t>
      </w:r>
      <w:bookmarkEnd w:id="94"/>
    </w:p>
    <w:p w14:paraId="1962C35A">
      <w:pPr>
        <w:spacing w:before="312" w:beforeLines="100"/>
        <w:rPr>
          <w:rFonts w:cs="宋体" w:asciiTheme="minorEastAsia" w:hAnsiTheme="minorEastAsia"/>
          <w:bCs/>
          <w:sz w:val="32"/>
          <w:szCs w:val="32"/>
        </w:rPr>
      </w:pPr>
      <w:r>
        <w:rPr>
          <w:rFonts w:hint="eastAsia" w:asciiTheme="minorEastAsia" w:hAnsiTheme="minorEastAsia"/>
          <w:szCs w:val="28"/>
        </w:rPr>
        <w:t>9</w:t>
      </w:r>
      <w:r>
        <w:rPr>
          <w:rFonts w:asciiTheme="minorEastAsia" w:hAnsiTheme="minorEastAsia"/>
          <w:szCs w:val="28"/>
        </w:rPr>
        <w:t>.</w:t>
      </w:r>
      <w:r>
        <w:rPr>
          <w:rFonts w:hint="eastAsia" w:asciiTheme="minorEastAsia" w:hAnsiTheme="minorEastAsia"/>
          <w:szCs w:val="28"/>
        </w:rPr>
        <w:t>3</w:t>
      </w:r>
      <w:r>
        <w:rPr>
          <w:rFonts w:asciiTheme="minorEastAsia" w:hAnsiTheme="minorEastAsia"/>
          <w:szCs w:val="28"/>
        </w:rPr>
        <w:t>.</w:t>
      </w:r>
      <w:r>
        <w:rPr>
          <w:rFonts w:hint="eastAsia" w:asciiTheme="minorEastAsia" w:hAnsiTheme="minorEastAsia"/>
          <w:szCs w:val="28"/>
        </w:rPr>
        <w:t>2 本条规定不要求必须设置</w:t>
      </w:r>
      <w:r>
        <w:rPr>
          <w:rFonts w:hint="eastAsia" w:asciiTheme="minorEastAsia" w:hAnsiTheme="minorEastAsia"/>
          <w:szCs w:val="28"/>
          <w:bdr w:val="single" w:color="auto" w:sz="4" w:space="0"/>
        </w:rPr>
        <w:t>排队叫号</w:t>
      </w:r>
      <w:r>
        <w:rPr>
          <w:rFonts w:hint="eastAsia" w:asciiTheme="minorEastAsia" w:hAnsiTheme="minorEastAsia"/>
          <w:szCs w:val="28"/>
          <w:u w:val="single"/>
        </w:rPr>
        <w:t>候诊呼叫信号</w:t>
      </w:r>
      <w:r>
        <w:rPr>
          <w:rFonts w:hint="eastAsia" w:asciiTheme="minorEastAsia" w:hAnsiTheme="minorEastAsia"/>
          <w:szCs w:val="28"/>
        </w:rPr>
        <w:t>系统，部分规模较小、门诊量少的医院可不设置该系统。</w:t>
      </w:r>
    </w:p>
    <w:p w14:paraId="7CED1A6D">
      <w:pPr>
        <w:spacing w:before="312" w:beforeLines="100"/>
        <w:rPr>
          <w:rFonts w:cs="宋体" w:asciiTheme="minorEastAsia" w:hAnsiTheme="minorEastAsia"/>
          <w:bCs/>
          <w:sz w:val="32"/>
          <w:szCs w:val="32"/>
        </w:rPr>
      </w:pPr>
      <w:r>
        <w:rPr>
          <w:rFonts w:hint="eastAsia" w:asciiTheme="minorEastAsia" w:hAnsiTheme="minorEastAsia"/>
          <w:szCs w:val="28"/>
        </w:rPr>
        <w:t>9.3.6 本条规定根据需求可设置无线呼叫终端，该系统是</w:t>
      </w:r>
      <w:r>
        <w:rPr>
          <w:rFonts w:hint="eastAsia" w:asciiTheme="minorEastAsia" w:hAnsiTheme="minorEastAsia"/>
          <w:szCs w:val="28"/>
          <w:bdr w:val="single" w:color="auto" w:sz="4" w:space="0"/>
        </w:rPr>
        <w:t>医护对讲</w:t>
      </w:r>
      <w:r>
        <w:rPr>
          <w:rFonts w:hint="eastAsia" w:asciiTheme="minorEastAsia" w:hAnsiTheme="minorEastAsia"/>
          <w:szCs w:val="28"/>
          <w:u w:val="single"/>
        </w:rPr>
        <w:t>护理呼应信号</w:t>
      </w:r>
      <w:r>
        <w:rPr>
          <w:rFonts w:hint="eastAsia" w:asciiTheme="minorEastAsia" w:hAnsiTheme="minorEastAsia"/>
          <w:szCs w:val="28"/>
        </w:rPr>
        <w:t>系统的一个辅助功能，当夜间只有一个护士值班时，在进行某个病人处置过程中，可方便及时接收其他病人的呼叫。</w:t>
      </w:r>
      <w:r>
        <w:rPr>
          <w:rFonts w:hint="eastAsia" w:asciiTheme="minorEastAsia" w:hAnsiTheme="minorEastAsia"/>
          <w:szCs w:val="28"/>
          <w:u w:val="single"/>
        </w:rPr>
        <w:t>护理呼应信号系统软件接入医院信息化系统，便于在病房内查询患者相关信息。</w:t>
      </w:r>
    </w:p>
    <w:p w14:paraId="2F1BB36C">
      <w:pPr>
        <w:spacing w:before="312" w:beforeLines="100" w:after="156" w:afterLines="50"/>
        <w:jc w:val="center"/>
        <w:outlineLvl w:val="2"/>
        <w:rPr>
          <w:rFonts w:asciiTheme="minorEastAsia" w:hAnsiTheme="minorEastAsia"/>
          <w:b/>
          <w:bCs/>
          <w:sz w:val="28"/>
          <w:szCs w:val="28"/>
          <w:u w:val="single"/>
        </w:rPr>
      </w:pPr>
      <w:bookmarkStart w:id="95" w:name="_Toc85880794"/>
      <w:r>
        <w:rPr>
          <w:rFonts w:hint="eastAsia" w:asciiTheme="minorEastAsia" w:hAnsiTheme="minorEastAsia"/>
          <w:b/>
          <w:bCs/>
          <w:sz w:val="28"/>
          <w:szCs w:val="28"/>
          <w:u w:val="single"/>
        </w:rPr>
        <w:t>9.4 公共安全系统</w:t>
      </w:r>
      <w:bookmarkEnd w:id="95"/>
    </w:p>
    <w:p w14:paraId="54BEF865">
      <w:pPr>
        <w:spacing w:before="312" w:beforeLines="100"/>
        <w:rPr>
          <w:rFonts w:cs="宋体" w:asciiTheme="minorEastAsia" w:hAnsiTheme="minorEastAsia"/>
          <w:bCs/>
          <w:sz w:val="32"/>
          <w:szCs w:val="32"/>
          <w:highlight w:val="green"/>
        </w:rPr>
      </w:pPr>
      <w:r>
        <w:rPr>
          <w:rFonts w:hint="eastAsia" w:asciiTheme="minorEastAsia" w:hAnsiTheme="minorEastAsia"/>
          <w:szCs w:val="28"/>
          <w:u w:val="single"/>
        </w:rPr>
        <w:t>9.4.2A</w:t>
      </w:r>
      <w:r>
        <w:rPr>
          <w:rFonts w:asciiTheme="minorEastAsia" w:hAnsiTheme="minorEastAsia"/>
          <w:szCs w:val="28"/>
          <w:u w:val="single"/>
        </w:rPr>
        <w:t xml:space="preserve"> 呼吸类传染病区工艺对气流组织及压力梯度有较严格的要求</w:t>
      </w:r>
      <w:r>
        <w:rPr>
          <w:rFonts w:hint="eastAsia" w:asciiTheme="minorEastAsia" w:hAnsiTheme="minorEastAsia"/>
          <w:szCs w:val="28"/>
          <w:u w:val="single"/>
        </w:rPr>
        <w:t>，因此规定在监测点附近设置报警指示灯。</w:t>
      </w:r>
    </w:p>
    <w:p w14:paraId="3D4C2371">
      <w:pPr>
        <w:pageBreakBefore/>
        <w:spacing w:before="312" w:beforeLines="100" w:after="156" w:afterLines="50"/>
        <w:jc w:val="center"/>
        <w:outlineLvl w:val="2"/>
        <w:rPr>
          <w:rFonts w:asciiTheme="minorEastAsia" w:hAnsiTheme="minorEastAsia"/>
          <w:b/>
          <w:bCs/>
          <w:sz w:val="28"/>
          <w:szCs w:val="28"/>
        </w:rPr>
      </w:pPr>
      <w:bookmarkStart w:id="96" w:name="_Toc85880796"/>
      <w:r>
        <w:rPr>
          <w:rFonts w:hint="eastAsia" w:asciiTheme="minorEastAsia" w:hAnsiTheme="minorEastAsia"/>
          <w:b/>
          <w:bCs/>
          <w:sz w:val="28"/>
          <w:szCs w:val="28"/>
        </w:rPr>
        <w:t>9.6 机房工程</w:t>
      </w:r>
      <w:bookmarkEnd w:id="96"/>
    </w:p>
    <w:p w14:paraId="2CF87D58">
      <w:pPr>
        <w:spacing w:before="312" w:beforeLines="100"/>
        <w:rPr>
          <w:rFonts w:cs="宋体" w:asciiTheme="minorEastAsia" w:hAnsiTheme="minorEastAsia"/>
          <w:bCs/>
          <w:sz w:val="32"/>
          <w:szCs w:val="32"/>
        </w:rPr>
      </w:pPr>
      <w:r>
        <w:rPr>
          <w:rFonts w:hint="eastAsia" w:asciiTheme="minorEastAsia" w:hAnsiTheme="minorEastAsia"/>
          <w:szCs w:val="28"/>
          <w:u w:val="single"/>
        </w:rPr>
        <w:t>9.6.</w:t>
      </w:r>
      <w:r>
        <w:rPr>
          <w:rFonts w:asciiTheme="minorEastAsia" w:hAnsiTheme="minorEastAsia"/>
          <w:szCs w:val="28"/>
          <w:u w:val="single"/>
        </w:rPr>
        <w:t xml:space="preserve">4～9.6.6 </w:t>
      </w:r>
      <w:r>
        <w:rPr>
          <w:rFonts w:hint="eastAsia" w:asciiTheme="minorEastAsia" w:hAnsiTheme="minorEastAsia"/>
          <w:szCs w:val="28"/>
          <w:u w:val="single"/>
        </w:rPr>
        <w:t>医院信息中心设计应满足《数据中心设计规范》GB50174中的相关规定，但是信息中心的等级及供电、空调等相关技术措施也不宜定的过高，造成投资的浪费；灾备机房的建设标准不应低于主机房指的是等级，规模应根据医院的实际情况确定。</w:t>
      </w:r>
    </w:p>
    <w:p w14:paraId="53ED63E5">
      <w:pPr>
        <w:spacing w:line="1000" w:lineRule="exact"/>
        <w:jc w:val="center"/>
        <w:rPr>
          <w:rFonts w:eastAsia="宋体"/>
          <w:sz w:val="32"/>
          <w:szCs w:val="20"/>
        </w:rPr>
      </w:pPr>
    </w:p>
    <w:p w14:paraId="551E3A9B">
      <w:pPr>
        <w:pageBreakBefore/>
        <w:spacing w:before="100" w:beforeAutospacing="1" w:after="312" w:afterLines="100"/>
        <w:jc w:val="center"/>
        <w:outlineLvl w:val="1"/>
        <w:rPr>
          <w:rFonts w:ascii="宋体" w:hAnsi="宋体" w:eastAsia="宋体" w:cs="黑体"/>
          <w:b/>
          <w:spacing w:val="-4"/>
          <w:sz w:val="32"/>
          <w:szCs w:val="28"/>
        </w:rPr>
      </w:pPr>
      <w:r>
        <w:rPr>
          <w:rFonts w:hint="eastAsia" w:ascii="宋体" w:hAnsi="宋体" w:eastAsia="宋体" w:cs="黑体"/>
          <w:b/>
          <w:spacing w:val="-4"/>
          <w:sz w:val="32"/>
          <w:szCs w:val="28"/>
        </w:rPr>
        <w:t>1</w:t>
      </w:r>
      <w:r>
        <w:rPr>
          <w:rFonts w:ascii="宋体" w:hAnsi="宋体" w:eastAsia="宋体" w:cs="黑体"/>
          <w:b/>
          <w:spacing w:val="-4"/>
          <w:sz w:val="32"/>
          <w:szCs w:val="28"/>
        </w:rPr>
        <w:t>0.</w:t>
      </w:r>
      <w:r>
        <w:rPr>
          <w:rFonts w:hint="eastAsia" w:ascii="宋体" w:hAnsi="宋体" w:eastAsia="宋体" w:cs="黑体"/>
          <w:b/>
          <w:spacing w:val="-4"/>
          <w:sz w:val="32"/>
          <w:szCs w:val="28"/>
        </w:rPr>
        <w:t>医用气体系统</w:t>
      </w:r>
    </w:p>
    <w:p w14:paraId="03BB342A">
      <w:pPr>
        <w:spacing w:before="312" w:beforeLines="100" w:after="156" w:afterLines="50"/>
        <w:jc w:val="center"/>
        <w:outlineLvl w:val="2"/>
        <w:rPr>
          <w:rFonts w:ascii="宋体" w:hAnsi="宋体" w:eastAsia="宋体"/>
          <w:b/>
          <w:bCs/>
          <w:sz w:val="28"/>
          <w:szCs w:val="28"/>
          <w:u w:val="single"/>
        </w:rPr>
      </w:pPr>
      <w:bookmarkStart w:id="97" w:name="_Toc85880798"/>
      <w:r>
        <w:rPr>
          <w:rFonts w:hint="eastAsia" w:ascii="宋体" w:hAnsi="宋体" w:eastAsia="宋体"/>
          <w:b/>
          <w:bCs/>
          <w:sz w:val="28"/>
          <w:szCs w:val="28"/>
          <w:u w:val="single"/>
        </w:rPr>
        <w:t>10.1 一般规定</w:t>
      </w:r>
      <w:bookmarkEnd w:id="97"/>
    </w:p>
    <w:p w14:paraId="3FCCD94B">
      <w:pPr>
        <w:spacing w:before="312" w:beforeLines="100"/>
        <w:rPr>
          <w:rFonts w:cs="宋体" w:asciiTheme="minorEastAsia" w:hAnsiTheme="minorEastAsia"/>
          <w:bCs/>
        </w:rPr>
      </w:pPr>
      <w:bookmarkStart w:id="98" w:name="_Toc85880799"/>
      <w:r>
        <w:rPr>
          <w:rFonts w:hint="eastAsia" w:asciiTheme="minorEastAsia" w:hAnsiTheme="minorEastAsia"/>
          <w:bCs/>
          <w:snapToGrid w:val="0"/>
          <w:spacing w:val="8"/>
          <w:kern w:val="0"/>
          <w:u w:val="single"/>
        </w:rPr>
        <w:t>10.1.4</w:t>
      </w:r>
      <w:r>
        <w:rPr>
          <w:rFonts w:hint="eastAsia" w:asciiTheme="minorEastAsia" w:hAnsiTheme="minorEastAsia"/>
          <w:b/>
          <w:snapToGrid w:val="0"/>
          <w:spacing w:val="8"/>
          <w:kern w:val="0"/>
          <w:u w:val="single"/>
        </w:rPr>
        <w:t xml:space="preserve"> </w:t>
      </w:r>
      <w:r>
        <w:rPr>
          <w:rFonts w:hint="eastAsia" w:asciiTheme="minorEastAsia" w:hAnsiTheme="minorEastAsia"/>
          <w:u w:val="single"/>
        </w:rPr>
        <w:t>应对“疫情”医疗需求，单床医用气体用量较平时综合医院医用气体的用气量存在较大差异，“平疫结合”的综合医院医用气体气源站房应通过合理配置气源或预留空间以满足“疫情”医疗医用气体用量需求。</w:t>
      </w:r>
    </w:p>
    <w:p w14:paraId="30B8E844">
      <w:pPr>
        <w:spacing w:before="312" w:beforeLines="100" w:after="156" w:afterLines="50"/>
        <w:jc w:val="center"/>
        <w:outlineLvl w:val="2"/>
        <w:rPr>
          <w:rFonts w:ascii="宋体" w:hAnsi="宋体" w:eastAsia="宋体"/>
          <w:b/>
          <w:sz w:val="28"/>
          <w:szCs w:val="28"/>
        </w:rPr>
      </w:pPr>
      <w:r>
        <w:rPr>
          <w:rFonts w:hint="eastAsia" w:ascii="宋体" w:hAnsi="宋体" w:eastAsia="宋体"/>
          <w:b/>
          <w:sz w:val="28"/>
          <w:szCs w:val="28"/>
        </w:rPr>
        <w:t>10.2 气源</w:t>
      </w:r>
      <w:r>
        <w:rPr>
          <w:rFonts w:hint="eastAsia" w:ascii="宋体" w:hAnsi="宋体" w:eastAsia="宋体"/>
          <w:b/>
          <w:sz w:val="28"/>
          <w:szCs w:val="28"/>
          <w:u w:val="single"/>
        </w:rPr>
        <w:t>站房及</w:t>
      </w:r>
      <w:r>
        <w:rPr>
          <w:rFonts w:hint="eastAsia" w:ascii="宋体" w:hAnsi="宋体" w:eastAsia="宋体"/>
          <w:b/>
          <w:sz w:val="28"/>
          <w:szCs w:val="28"/>
        </w:rPr>
        <w:t>设备</w:t>
      </w:r>
      <w:bookmarkEnd w:id="98"/>
    </w:p>
    <w:p w14:paraId="40B34043">
      <w:pPr>
        <w:spacing w:before="312" w:beforeLines="100"/>
        <w:jc w:val="center"/>
        <w:rPr>
          <w:rFonts w:ascii="宋体" w:hAnsi="宋体" w:eastAsia="宋体"/>
          <w:b/>
          <w:u w:val="single"/>
        </w:rPr>
      </w:pPr>
      <w:r>
        <w:rPr>
          <w:rFonts w:hint="eastAsia" w:ascii="宋体" w:hAnsi="宋体" w:eastAsia="宋体"/>
          <w:b/>
          <w:u w:val="single"/>
        </w:rPr>
        <w:t>气源站房及设备一般规定</w:t>
      </w:r>
    </w:p>
    <w:p w14:paraId="37B50FB9">
      <w:pPr>
        <w:spacing w:before="312" w:beforeLines="100"/>
        <w:rPr>
          <w:rFonts w:asciiTheme="minorEastAsia" w:hAnsiTheme="minorEastAsia"/>
          <w:u w:val="single"/>
        </w:rPr>
      </w:pPr>
      <w:r>
        <w:rPr>
          <w:rFonts w:asciiTheme="minorEastAsia" w:hAnsiTheme="minorEastAsia"/>
          <w:bCs/>
          <w:snapToGrid w:val="0"/>
          <w:spacing w:val="8"/>
          <w:kern w:val="0"/>
          <w:u w:val="single"/>
        </w:rPr>
        <w:t xml:space="preserve">10.2.7A </w:t>
      </w:r>
      <w:r>
        <w:rPr>
          <w:rFonts w:asciiTheme="minorEastAsia" w:hAnsiTheme="minorEastAsia"/>
          <w:u w:val="single"/>
        </w:rPr>
        <w:t>真空吸引泵站是医院废液、废气较为集中的地方。由于废液、废气带有病毒，废液经污水处理站处理后排放市政污水管网，废气也应处理后才能排放。</w:t>
      </w:r>
    </w:p>
    <w:p w14:paraId="38290DB1">
      <w:pPr>
        <w:spacing w:before="312" w:beforeLines="100"/>
        <w:jc w:val="center"/>
        <w:rPr>
          <w:rFonts w:ascii="宋体" w:hAnsi="宋体" w:eastAsia="宋体"/>
          <w:b/>
          <w:u w:val="single"/>
        </w:rPr>
      </w:pPr>
      <w:r>
        <w:rPr>
          <w:rFonts w:hint="eastAsia" w:ascii="宋体" w:hAnsi="宋体" w:eastAsia="宋体"/>
          <w:b/>
          <w:u w:val="single"/>
        </w:rPr>
        <w:t>医用氧气气源站房及设备一般规定</w:t>
      </w:r>
    </w:p>
    <w:p w14:paraId="19FEFED8">
      <w:pPr>
        <w:spacing w:before="312" w:beforeLines="100"/>
        <w:rPr>
          <w:rFonts w:cs="宋体" w:asciiTheme="minorEastAsia" w:hAnsiTheme="minorEastAsia"/>
          <w:bCs/>
        </w:rPr>
      </w:pPr>
      <w:r>
        <w:rPr>
          <w:rFonts w:cs="宋体" w:asciiTheme="minorEastAsia" w:hAnsiTheme="minorEastAsia"/>
          <w:bCs/>
        </w:rPr>
        <w:t xml:space="preserve">10.2.8 </w:t>
      </w:r>
      <w:r>
        <w:rPr>
          <w:rFonts w:hint="eastAsia" w:cs="宋体" w:asciiTheme="minorEastAsia" w:hAnsiTheme="minorEastAsia"/>
          <w:bCs/>
        </w:rPr>
        <w:t>在分子筛制氧机房内，氧气储存是用氧气汇流排或氧气储罐。氧气是助燃剂，分子筛制氧组中的空气压缩机和冷冻干燥机使用的润滑油一旦与较高浓度的氧气接触，容易引发火灾。应将氧气汇流排和氧气储罐与机器间采用耐火极限不低于</w:t>
      </w:r>
      <w:r>
        <w:rPr>
          <w:rFonts w:cs="宋体" w:asciiTheme="minorEastAsia" w:hAnsiTheme="minorEastAsia"/>
          <w:bCs/>
        </w:rPr>
        <w:t>1.5h</w:t>
      </w:r>
      <w:r>
        <w:rPr>
          <w:rFonts w:hint="eastAsia" w:cs="宋体" w:asciiTheme="minorEastAsia" w:hAnsiTheme="minorEastAsia"/>
          <w:bCs/>
        </w:rPr>
        <w:t>的墙和甲级防火门隔开。故本条第</w:t>
      </w:r>
      <w:r>
        <w:rPr>
          <w:rFonts w:cs="宋体" w:asciiTheme="minorEastAsia" w:hAnsiTheme="minorEastAsia"/>
          <w:bCs/>
        </w:rPr>
        <w:t>2</w:t>
      </w:r>
      <w:r>
        <w:rPr>
          <w:rFonts w:hint="eastAsia" w:cs="宋体" w:asciiTheme="minorEastAsia" w:hAnsiTheme="minorEastAsia"/>
          <w:bCs/>
        </w:rPr>
        <w:t>款、第</w:t>
      </w:r>
      <w:r>
        <w:rPr>
          <w:rFonts w:cs="宋体" w:asciiTheme="minorEastAsia" w:hAnsiTheme="minorEastAsia"/>
          <w:bCs/>
        </w:rPr>
        <w:t>3</w:t>
      </w:r>
      <w:r>
        <w:rPr>
          <w:rFonts w:hint="eastAsia" w:cs="宋体" w:asciiTheme="minorEastAsia" w:hAnsiTheme="minorEastAsia"/>
          <w:bCs/>
        </w:rPr>
        <w:t>款为强制性条文，必须严格执行。</w:t>
      </w:r>
    </w:p>
    <w:p w14:paraId="66835924">
      <w:pPr>
        <w:ind w:firstLine="480" w:firstLineChars="200"/>
        <w:rPr>
          <w:rFonts w:cs="宋体" w:asciiTheme="minorEastAsia" w:hAnsiTheme="minorEastAsia"/>
          <w:bCs/>
        </w:rPr>
      </w:pPr>
      <w:r>
        <w:rPr>
          <w:rFonts w:asciiTheme="minorEastAsia" w:hAnsiTheme="minorEastAsia"/>
        </w:rPr>
        <w:t>氧气是助燃气体，虽然是连续生产连续使用</w:t>
      </w:r>
      <w:r>
        <w:rPr>
          <w:rFonts w:hint="eastAsia" w:asciiTheme="minorEastAsia" w:hAnsiTheme="minorEastAsia"/>
          <w:u w:val="single"/>
        </w:rPr>
        <w:t>、</w:t>
      </w:r>
      <w:r>
        <w:rPr>
          <w:rFonts w:asciiTheme="minorEastAsia" w:hAnsiTheme="minorEastAsia"/>
          <w:u w:val="single"/>
        </w:rPr>
        <w:t>站房储存量不大</w:t>
      </w:r>
      <w:r>
        <w:rPr>
          <w:rFonts w:asciiTheme="minorEastAsia" w:hAnsiTheme="minorEastAsia"/>
        </w:rPr>
        <w:t>，但毕竟存在一定的危险性，从安全生产考虑，</w:t>
      </w:r>
      <w:bookmarkStart w:id="99" w:name="OLE_LINK6"/>
      <w:r>
        <w:rPr>
          <w:rFonts w:asciiTheme="minorEastAsia" w:hAnsiTheme="minorEastAsia"/>
        </w:rPr>
        <w:t>制氧站</w:t>
      </w:r>
      <w:r>
        <w:rPr>
          <w:rFonts w:hint="eastAsia" w:asciiTheme="minorEastAsia" w:hAnsiTheme="minorEastAsia"/>
          <w:bdr w:val="single" w:color="auto" w:sz="4" w:space="0"/>
        </w:rPr>
        <w:t>不</w:t>
      </w:r>
      <w:r>
        <w:rPr>
          <w:rFonts w:asciiTheme="minorEastAsia" w:hAnsiTheme="minorEastAsia"/>
        </w:rPr>
        <w:t>应</w:t>
      </w:r>
      <w:bookmarkEnd w:id="99"/>
      <w:r>
        <w:rPr>
          <w:rFonts w:hint="eastAsia" w:asciiTheme="minorEastAsia" w:hAnsiTheme="minorEastAsia"/>
          <w:bdr w:val="single" w:color="auto" w:sz="4" w:space="0"/>
        </w:rPr>
        <w:t>设</w:t>
      </w:r>
      <w:r>
        <w:rPr>
          <w:rFonts w:asciiTheme="minorEastAsia" w:hAnsiTheme="minorEastAsia"/>
        </w:rPr>
        <w:t>在</w:t>
      </w:r>
      <w:r>
        <w:rPr>
          <w:rFonts w:asciiTheme="minorEastAsia" w:hAnsiTheme="minorEastAsia"/>
          <w:u w:val="single"/>
        </w:rPr>
        <w:t>独立</w:t>
      </w:r>
      <w:r>
        <w:rPr>
          <w:rFonts w:asciiTheme="minorEastAsia" w:hAnsiTheme="minorEastAsia"/>
        </w:rPr>
        <w:t>建筑物内。</w:t>
      </w:r>
    </w:p>
    <w:p w14:paraId="57FFAE84">
      <w:pPr>
        <w:spacing w:before="312" w:beforeLines="100"/>
        <w:rPr>
          <w:rFonts w:asciiTheme="minorEastAsia" w:hAnsiTheme="minorEastAsia"/>
        </w:rPr>
      </w:pPr>
      <w:r>
        <w:rPr>
          <w:rFonts w:asciiTheme="minorEastAsia" w:hAnsiTheme="minorEastAsia"/>
          <w:bCs/>
          <w:snapToGrid w:val="0"/>
          <w:spacing w:val="8"/>
          <w:kern w:val="0"/>
        </w:rPr>
        <w:t>10.2.9</w:t>
      </w:r>
      <w:r>
        <w:rPr>
          <w:rFonts w:asciiTheme="minorEastAsia" w:hAnsiTheme="minorEastAsia"/>
          <w:b/>
          <w:snapToGrid w:val="0"/>
          <w:spacing w:val="8"/>
          <w:kern w:val="0"/>
        </w:rPr>
        <w:t xml:space="preserve"> </w:t>
      </w:r>
      <w:r>
        <w:rPr>
          <w:rFonts w:asciiTheme="minorEastAsia" w:hAnsiTheme="minorEastAsia"/>
          <w:u w:val="single"/>
        </w:rPr>
        <w:t>氧气是助燃气体</w:t>
      </w:r>
      <w:r>
        <w:rPr>
          <w:rFonts w:hint="eastAsia" w:asciiTheme="minorEastAsia" w:hAnsiTheme="minorEastAsia"/>
          <w:u w:val="single"/>
        </w:rPr>
        <w:t>，</w:t>
      </w:r>
      <w:r>
        <w:rPr>
          <w:rFonts w:asciiTheme="minorEastAsia" w:hAnsiTheme="minorEastAsia"/>
          <w:u w:val="single"/>
        </w:rPr>
        <w:t>对液氧站周边环境构成一定火灾危险</w:t>
      </w:r>
      <w:r>
        <w:rPr>
          <w:rFonts w:hint="eastAsia" w:asciiTheme="minorEastAsia" w:hAnsiTheme="minorEastAsia"/>
          <w:u w:val="single"/>
        </w:rPr>
        <w:t>，</w:t>
      </w:r>
      <w:r>
        <w:rPr>
          <w:rFonts w:asciiTheme="minorEastAsia" w:hAnsiTheme="minorEastAsia"/>
        </w:rPr>
        <w:t>液氧罐与办公室、病房、公共场所及繁华道路的</w:t>
      </w:r>
      <w:r>
        <w:rPr>
          <w:rFonts w:asciiTheme="minorEastAsia" w:hAnsiTheme="minorEastAsia"/>
          <w:u w:val="single"/>
        </w:rPr>
        <w:t>消防</w:t>
      </w:r>
      <w:r>
        <w:rPr>
          <w:rFonts w:asciiTheme="minorEastAsia" w:hAnsiTheme="minorEastAsia"/>
        </w:rPr>
        <w:t>距离应</w:t>
      </w:r>
      <w:r>
        <w:rPr>
          <w:rFonts w:asciiTheme="minorEastAsia" w:hAnsiTheme="minorEastAsia"/>
          <w:u w:val="single"/>
        </w:rPr>
        <w:t>满足国家相关规范标准</w:t>
      </w:r>
      <w:r>
        <w:rPr>
          <w:rFonts w:hint="eastAsia" w:asciiTheme="minorEastAsia" w:hAnsiTheme="minorEastAsia"/>
          <w:bdr w:val="single" w:color="auto" w:sz="4" w:space="0"/>
        </w:rPr>
        <w:t>大于</w:t>
      </w:r>
      <w:r>
        <w:rPr>
          <w:rFonts w:asciiTheme="minorEastAsia" w:hAnsiTheme="minorEastAsia"/>
          <w:bdr w:val="single" w:color="auto" w:sz="4" w:space="0"/>
        </w:rPr>
        <w:t>7.50m</w:t>
      </w:r>
      <w:r>
        <w:rPr>
          <w:rFonts w:hint="eastAsia" w:asciiTheme="minorEastAsia" w:hAnsiTheme="minorEastAsia"/>
          <w:bdr w:val="single" w:color="auto" w:sz="4" w:space="0"/>
        </w:rPr>
        <w:t>（</w:t>
      </w:r>
      <w:r>
        <w:rPr>
          <w:rFonts w:asciiTheme="minorEastAsia" w:hAnsiTheme="minorEastAsia"/>
          <w:bdr w:val="single" w:color="auto" w:sz="4" w:space="0"/>
        </w:rPr>
        <w:t>7.50m</w:t>
      </w:r>
      <w:r>
        <w:rPr>
          <w:rFonts w:hint="eastAsia" w:asciiTheme="minorEastAsia" w:hAnsiTheme="minorEastAsia"/>
          <w:bdr w:val="single" w:color="auto" w:sz="4" w:space="0"/>
        </w:rPr>
        <w:t>是指液氧罐的外皮</w:t>
      </w:r>
      <w:r>
        <w:rPr>
          <w:rFonts w:asciiTheme="minorEastAsia" w:hAnsiTheme="minorEastAsia"/>
          <w:bdr w:val="single" w:color="auto" w:sz="4" w:space="0"/>
        </w:rPr>
        <w:t>与建筑物的外皮</w:t>
      </w:r>
      <w:r>
        <w:rPr>
          <w:rFonts w:hint="eastAsia" w:asciiTheme="minorEastAsia" w:hAnsiTheme="minorEastAsia"/>
          <w:bdr w:val="single" w:color="auto" w:sz="4" w:space="0"/>
        </w:rPr>
        <w:t>净距），</w:t>
      </w:r>
      <w:r>
        <w:rPr>
          <w:rFonts w:asciiTheme="minorEastAsia" w:hAnsiTheme="minorEastAsia"/>
          <w:bdr w:val="single" w:color="auto" w:sz="4" w:space="0"/>
        </w:rPr>
        <w:t>这样既保证使用安全，也有利于总图</w:t>
      </w:r>
      <w:r>
        <w:rPr>
          <w:rFonts w:hint="eastAsia" w:asciiTheme="minorEastAsia" w:hAnsiTheme="minorEastAsia"/>
          <w:bdr w:val="single" w:color="auto" w:sz="4" w:space="0"/>
        </w:rPr>
        <w:t>布置</w:t>
      </w:r>
      <w:r>
        <w:rPr>
          <w:rFonts w:asciiTheme="minorEastAsia" w:hAnsiTheme="minorEastAsia"/>
          <w:bdr w:val="single" w:color="auto" w:sz="4" w:space="0"/>
        </w:rPr>
        <w:t>设计</w:t>
      </w:r>
      <w:r>
        <w:rPr>
          <w:rFonts w:asciiTheme="minorEastAsia" w:hAnsiTheme="minorEastAsia"/>
        </w:rPr>
        <w:t>。</w:t>
      </w:r>
    </w:p>
    <w:p w14:paraId="06D6E223">
      <w:pPr>
        <w:spacing w:before="312" w:beforeLines="100"/>
        <w:jc w:val="center"/>
        <w:rPr>
          <w:rFonts w:asciiTheme="minorEastAsia" w:hAnsiTheme="minorEastAsia"/>
          <w:b/>
          <w:u w:val="single"/>
        </w:rPr>
      </w:pPr>
      <w:r>
        <w:rPr>
          <w:rFonts w:hint="eastAsia" w:asciiTheme="minorEastAsia" w:hAnsiTheme="minorEastAsia"/>
          <w:b/>
          <w:u w:val="single"/>
        </w:rPr>
        <w:t>“平疫结合”的综合医院气源站房及设备一般规定</w:t>
      </w:r>
    </w:p>
    <w:p w14:paraId="7CAE0691">
      <w:pPr>
        <w:spacing w:before="312" w:beforeLines="100"/>
        <w:rPr>
          <w:rFonts w:cs="宋体" w:asciiTheme="minorEastAsia" w:hAnsiTheme="minorEastAsia"/>
          <w:bCs/>
        </w:rPr>
      </w:pPr>
      <w:r>
        <w:rPr>
          <w:rFonts w:asciiTheme="minorEastAsia" w:hAnsiTheme="minorEastAsia"/>
          <w:bCs/>
          <w:snapToGrid w:val="0"/>
          <w:spacing w:val="8"/>
          <w:kern w:val="0"/>
          <w:u w:val="single"/>
        </w:rPr>
        <w:t>10.2.9A</w:t>
      </w:r>
      <w:r>
        <w:rPr>
          <w:rFonts w:asciiTheme="minorEastAsia" w:hAnsiTheme="minorEastAsia"/>
          <w:u w:val="single"/>
        </w:rPr>
        <w:t xml:space="preserve"> </w:t>
      </w:r>
      <w:r>
        <w:rPr>
          <w:rFonts w:hint="eastAsia" w:asciiTheme="minorEastAsia" w:hAnsiTheme="minorEastAsia"/>
          <w:u w:val="single"/>
        </w:rPr>
        <w:t>医用气体直接给患者使用，“平疫结合”的综合医院充分考虑防止疫情状态下通过医用气体系统传染的可能性；将医用气体分为正压供气、负压吸引，正压供气源可与医院其他同类气源合用站房，负压吸引机房设单独站房不与医院其他同类机房合用。</w:t>
      </w:r>
    </w:p>
    <w:p w14:paraId="3B3EEF2C">
      <w:pPr>
        <w:spacing w:before="312" w:beforeLines="100"/>
        <w:rPr>
          <w:rFonts w:cs="宋体" w:asciiTheme="minorEastAsia" w:hAnsiTheme="minorEastAsia"/>
          <w:bCs/>
        </w:rPr>
      </w:pPr>
      <w:r>
        <w:rPr>
          <w:rFonts w:asciiTheme="minorEastAsia" w:hAnsiTheme="minorEastAsia"/>
          <w:bCs/>
          <w:snapToGrid w:val="0"/>
          <w:spacing w:val="8"/>
          <w:kern w:val="0"/>
          <w:u w:val="single"/>
        </w:rPr>
        <w:t>10.2.9B</w:t>
      </w:r>
      <w:r>
        <w:rPr>
          <w:rFonts w:asciiTheme="minorEastAsia" w:hAnsiTheme="minorEastAsia"/>
          <w:b/>
          <w:snapToGrid w:val="0"/>
          <w:spacing w:val="8"/>
          <w:kern w:val="0"/>
          <w:u w:val="single"/>
        </w:rPr>
        <w:t xml:space="preserve"> </w:t>
      </w:r>
      <w:r>
        <w:rPr>
          <w:rFonts w:hint="eastAsia" w:asciiTheme="minorEastAsia" w:hAnsiTheme="minorEastAsia"/>
          <w:u w:val="single"/>
        </w:rPr>
        <w:t>“疫情”状态下，医用气体用气用量与“平时”气体用气用量存在较大差异，根据治疗需要某些气体的用量会有大幅提高，站房应通过合理设备配置或预留发展空间满足“疫情”状态下治疗用气量。</w:t>
      </w:r>
    </w:p>
    <w:p w14:paraId="786A469E">
      <w:pPr>
        <w:spacing w:before="312" w:beforeLines="100"/>
        <w:rPr>
          <w:rFonts w:cs="宋体" w:asciiTheme="minorEastAsia" w:hAnsiTheme="minorEastAsia"/>
          <w:bCs/>
        </w:rPr>
      </w:pPr>
      <w:bookmarkStart w:id="100" w:name="_Toc85880800"/>
      <w:r>
        <w:rPr>
          <w:rFonts w:hint="eastAsia" w:asciiTheme="minorEastAsia" w:hAnsiTheme="minorEastAsia"/>
        </w:rPr>
        <w:t>10.2.1</w:t>
      </w:r>
      <w:r>
        <w:rPr>
          <w:rFonts w:asciiTheme="minorEastAsia" w:hAnsiTheme="minorEastAsia"/>
        </w:rPr>
        <w:t>0</w:t>
      </w:r>
      <w:r>
        <w:rPr>
          <w:rFonts w:hint="eastAsia" w:asciiTheme="minorEastAsia" w:hAnsiTheme="minorEastAsia"/>
        </w:rPr>
        <w:t xml:space="preserve"> </w:t>
      </w:r>
      <w:r>
        <w:rPr>
          <w:rFonts w:hint="eastAsia" w:asciiTheme="minorEastAsia" w:hAnsiTheme="minorEastAsia"/>
          <w:u w:val="single"/>
        </w:rPr>
        <w:t>“疫情”状态下，“平疫结合”的综合医院用于疫情治疗的负压吸引机房为高度污染场所，应设在污染区内，排放气体应经过严格处理后方可排入大气。</w:t>
      </w:r>
      <w:r>
        <w:rPr>
          <w:rFonts w:asciiTheme="minorEastAsia" w:hAnsiTheme="minorEastAsia"/>
          <w:bdr w:val="single" w:color="auto" w:sz="4" w:space="0"/>
        </w:rPr>
        <w:t>真空吸引泵站是医院废液、废气较为集中的地方。由于废液、废气带有病毒，废液</w:t>
      </w:r>
      <w:r>
        <w:rPr>
          <w:rFonts w:hint="eastAsia" w:asciiTheme="minorEastAsia" w:hAnsiTheme="minorEastAsia"/>
          <w:bdr w:val="single" w:color="auto" w:sz="4" w:space="0"/>
        </w:rPr>
        <w:t>应</w:t>
      </w:r>
      <w:r>
        <w:rPr>
          <w:rFonts w:asciiTheme="minorEastAsia" w:hAnsiTheme="minorEastAsia"/>
          <w:bdr w:val="single" w:color="auto" w:sz="4" w:space="0"/>
        </w:rPr>
        <w:t>经污水处理站处理后排放市政污水管网，废气也应处理后才能排放。</w:t>
      </w:r>
    </w:p>
    <w:p w14:paraId="20242139">
      <w:pPr>
        <w:spacing w:before="312" w:beforeLines="100" w:after="156" w:afterLines="50"/>
        <w:jc w:val="center"/>
        <w:outlineLvl w:val="2"/>
        <w:rPr>
          <w:rFonts w:asciiTheme="minorEastAsia" w:hAnsiTheme="minorEastAsia"/>
          <w:b/>
          <w:bCs/>
          <w:sz w:val="28"/>
          <w:szCs w:val="28"/>
        </w:rPr>
      </w:pPr>
      <w:r>
        <w:rPr>
          <w:rFonts w:hint="eastAsia" w:asciiTheme="minorEastAsia" w:hAnsiTheme="minorEastAsia"/>
          <w:b/>
          <w:bCs/>
          <w:sz w:val="28"/>
          <w:szCs w:val="28"/>
        </w:rPr>
        <w:t>10.3 气体配管</w:t>
      </w:r>
      <w:bookmarkEnd w:id="100"/>
    </w:p>
    <w:p w14:paraId="251B4B12">
      <w:pPr>
        <w:spacing w:before="312" w:beforeLines="100"/>
        <w:rPr>
          <w:rFonts w:cs="宋体" w:asciiTheme="minorEastAsia" w:hAnsiTheme="minorEastAsia"/>
          <w:bCs/>
        </w:rPr>
      </w:pPr>
      <w:r>
        <w:rPr>
          <w:rFonts w:hint="eastAsia" w:asciiTheme="minorEastAsia" w:hAnsiTheme="minorEastAsia"/>
          <w:u w:val="single"/>
        </w:rPr>
        <w:t>10.3.12 “平疫结合”区，应根据相关标准用峰值用气量复核医用气体支、干管管径。</w:t>
      </w:r>
    </w:p>
    <w:p w14:paraId="231BB055">
      <w:pPr>
        <w:spacing w:before="312" w:beforeLines="100"/>
        <w:rPr>
          <w:rFonts w:cs="宋体" w:asciiTheme="minorEastAsia" w:hAnsiTheme="minorEastAsia"/>
          <w:bCs/>
          <w:highlight w:val="yellow"/>
        </w:rPr>
      </w:pPr>
      <w:bookmarkStart w:id="101" w:name="_Toc85880801"/>
      <w:r>
        <w:rPr>
          <w:rFonts w:hint="eastAsia" w:asciiTheme="minorEastAsia" w:hAnsiTheme="minorEastAsia"/>
          <w:u w:val="single"/>
        </w:rPr>
        <w:t>10.3.14～15 “平疫结合”综合医院，疫情状态下管道维修不方便，需要提高“平疫结合”区管道及附件的可靠性。</w:t>
      </w:r>
    </w:p>
    <w:bookmarkEnd w:id="101"/>
    <w:p w14:paraId="78486898">
      <w:pPr>
        <w:spacing w:before="312" w:beforeLines="100" w:after="156" w:afterLines="50"/>
        <w:jc w:val="center"/>
        <w:outlineLvl w:val="2"/>
        <w:rPr>
          <w:rFonts w:asciiTheme="minorEastAsia" w:hAnsiTheme="minorEastAsia"/>
          <w:b/>
          <w:sz w:val="28"/>
          <w:szCs w:val="28"/>
          <w:u w:val="single"/>
        </w:rPr>
      </w:pPr>
      <w:bookmarkStart w:id="102" w:name="_Toc85880802"/>
      <w:r>
        <w:rPr>
          <w:rFonts w:asciiTheme="minorEastAsia" w:hAnsiTheme="minorEastAsia"/>
          <w:b/>
          <w:sz w:val="28"/>
          <w:szCs w:val="28"/>
          <w:u w:val="single"/>
        </w:rPr>
        <w:t xml:space="preserve">10.5 </w:t>
      </w:r>
      <w:r>
        <w:rPr>
          <w:rFonts w:hint="eastAsia" w:asciiTheme="minorEastAsia" w:hAnsiTheme="minorEastAsia"/>
          <w:b/>
          <w:sz w:val="28"/>
          <w:szCs w:val="28"/>
          <w:u w:val="single"/>
        </w:rPr>
        <w:t>医用气体监测报警系统</w:t>
      </w:r>
      <w:bookmarkEnd w:id="102"/>
    </w:p>
    <w:p w14:paraId="0CE18682">
      <w:pPr>
        <w:spacing w:before="312" w:beforeLines="100"/>
        <w:rPr>
          <w:rFonts w:cs="宋体" w:asciiTheme="minorEastAsia" w:hAnsiTheme="minorEastAsia"/>
          <w:bCs/>
          <w:highlight w:val="yellow"/>
        </w:rPr>
      </w:pPr>
      <w:r>
        <w:rPr>
          <w:rFonts w:hint="eastAsia" w:asciiTheme="minorEastAsia" w:hAnsiTheme="minorEastAsia"/>
          <w:u w:val="single"/>
        </w:rPr>
        <w:t>10.5.1～2 医用气体作为医院生命支持系统，加强对全院医用气体系统及区域医用气体系统的检测报警、提高供气安全可靠性。</w:t>
      </w:r>
    </w:p>
    <w:p w14:paraId="42F1E34C">
      <w:pPr>
        <w:spacing w:before="312" w:beforeLines="100"/>
        <w:rPr>
          <w:rFonts w:asciiTheme="minorEastAsia" w:hAnsiTheme="minorEastAsia"/>
          <w:u w:val="single"/>
        </w:rPr>
      </w:pPr>
      <w:r>
        <w:rPr>
          <w:rFonts w:hint="eastAsia" w:asciiTheme="minorEastAsia" w:hAnsiTheme="minorEastAsia"/>
          <w:u w:val="single"/>
        </w:rPr>
        <w:t>10.5.3 加强疫情状态下“平疫结合”区医用气体检测报警，确保抗疫治疗质量。</w:t>
      </w:r>
    </w:p>
    <w:p w14:paraId="292391F9">
      <w:pPr>
        <w:pageBreakBefore/>
        <w:spacing w:before="100" w:beforeAutospacing="1" w:after="312" w:afterLines="100"/>
        <w:jc w:val="center"/>
        <w:outlineLvl w:val="1"/>
        <w:rPr>
          <w:rFonts w:ascii="宋体" w:hAnsi="宋体" w:eastAsia="宋体" w:cs="黑体"/>
          <w:b/>
          <w:spacing w:val="-4"/>
          <w:sz w:val="32"/>
          <w:szCs w:val="28"/>
        </w:rPr>
      </w:pPr>
      <w:r>
        <w:rPr>
          <w:rFonts w:ascii="宋体" w:hAnsi="宋体" w:eastAsia="宋体" w:cs="黑体"/>
          <w:b/>
          <w:spacing w:val="-4"/>
          <w:sz w:val="32"/>
          <w:szCs w:val="28"/>
        </w:rPr>
        <w:t>11</w:t>
      </w:r>
      <w:r>
        <w:rPr>
          <w:rFonts w:hint="eastAsia" w:ascii="宋体" w:hAnsi="宋体" w:eastAsia="宋体" w:cs="黑体"/>
          <w:b/>
          <w:spacing w:val="-4"/>
          <w:sz w:val="32"/>
          <w:szCs w:val="28"/>
        </w:rPr>
        <w:t>.蒸气系统</w:t>
      </w:r>
    </w:p>
    <w:p w14:paraId="029855E3">
      <w:pPr>
        <w:spacing w:before="312" w:beforeLines="100"/>
        <w:rPr>
          <w:rFonts w:eastAsia="宋体"/>
          <w:sz w:val="32"/>
          <w:szCs w:val="20"/>
        </w:rPr>
      </w:pPr>
      <w:r>
        <w:rPr>
          <w:rFonts w:hint="eastAsia" w:cs="宋体" w:asciiTheme="minorEastAsia" w:hAnsiTheme="minorEastAsia"/>
          <w:bCs/>
        </w:rPr>
        <w:t>本章</w:t>
      </w:r>
      <w:r>
        <w:rPr>
          <w:rFonts w:cs="宋体" w:asciiTheme="minorEastAsia" w:hAnsiTheme="minorEastAsia"/>
          <w:bCs/>
        </w:rPr>
        <w:t>条文说明内容无修改。</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5C4C">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358A93A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37FD">
    <w:pPr>
      <w:pStyle w:val="13"/>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pStyle w:val="45"/>
      <w:lvlText w:val="%1——"/>
      <w:lvlJc w:val="left"/>
      <w:pPr>
        <w:tabs>
          <w:tab w:val="left" w:pos="1770"/>
        </w:tabs>
        <w:ind w:left="147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53"/>
    <w:rsid w:val="00000217"/>
    <w:rsid w:val="0000036D"/>
    <w:rsid w:val="00001413"/>
    <w:rsid w:val="0000169F"/>
    <w:rsid w:val="00001E3D"/>
    <w:rsid w:val="00001E62"/>
    <w:rsid w:val="00001E8F"/>
    <w:rsid w:val="0000222D"/>
    <w:rsid w:val="000025F2"/>
    <w:rsid w:val="0000263F"/>
    <w:rsid w:val="00002C99"/>
    <w:rsid w:val="00003295"/>
    <w:rsid w:val="00003BD0"/>
    <w:rsid w:val="00004B00"/>
    <w:rsid w:val="000058AB"/>
    <w:rsid w:val="00007B8C"/>
    <w:rsid w:val="0001110D"/>
    <w:rsid w:val="00011FAC"/>
    <w:rsid w:val="00012424"/>
    <w:rsid w:val="00012E77"/>
    <w:rsid w:val="000133A2"/>
    <w:rsid w:val="00013F5E"/>
    <w:rsid w:val="00013F65"/>
    <w:rsid w:val="000149DC"/>
    <w:rsid w:val="00014F3C"/>
    <w:rsid w:val="00015125"/>
    <w:rsid w:val="00015855"/>
    <w:rsid w:val="000173CE"/>
    <w:rsid w:val="0002048F"/>
    <w:rsid w:val="0002149C"/>
    <w:rsid w:val="000229FD"/>
    <w:rsid w:val="00022C2C"/>
    <w:rsid w:val="00022F1B"/>
    <w:rsid w:val="00024845"/>
    <w:rsid w:val="00025699"/>
    <w:rsid w:val="00025C44"/>
    <w:rsid w:val="00025FD5"/>
    <w:rsid w:val="000262D2"/>
    <w:rsid w:val="00026BE6"/>
    <w:rsid w:val="00027349"/>
    <w:rsid w:val="00027815"/>
    <w:rsid w:val="00030183"/>
    <w:rsid w:val="00030846"/>
    <w:rsid w:val="00030ACC"/>
    <w:rsid w:val="000310CD"/>
    <w:rsid w:val="00032373"/>
    <w:rsid w:val="000329B3"/>
    <w:rsid w:val="00032A35"/>
    <w:rsid w:val="00033896"/>
    <w:rsid w:val="000339D1"/>
    <w:rsid w:val="00033A05"/>
    <w:rsid w:val="000347B5"/>
    <w:rsid w:val="0003490A"/>
    <w:rsid w:val="00035476"/>
    <w:rsid w:val="00036278"/>
    <w:rsid w:val="000369C8"/>
    <w:rsid w:val="000370D0"/>
    <w:rsid w:val="000374E4"/>
    <w:rsid w:val="00037A77"/>
    <w:rsid w:val="00040474"/>
    <w:rsid w:val="00040892"/>
    <w:rsid w:val="00040C99"/>
    <w:rsid w:val="00040DAA"/>
    <w:rsid w:val="0004323D"/>
    <w:rsid w:val="00043786"/>
    <w:rsid w:val="000437AA"/>
    <w:rsid w:val="00043877"/>
    <w:rsid w:val="00044049"/>
    <w:rsid w:val="00044EE9"/>
    <w:rsid w:val="00045331"/>
    <w:rsid w:val="0004764C"/>
    <w:rsid w:val="00050FE5"/>
    <w:rsid w:val="0005187C"/>
    <w:rsid w:val="00051E85"/>
    <w:rsid w:val="00052D7A"/>
    <w:rsid w:val="00054643"/>
    <w:rsid w:val="00054BBC"/>
    <w:rsid w:val="000560AF"/>
    <w:rsid w:val="00056671"/>
    <w:rsid w:val="00056DCF"/>
    <w:rsid w:val="00057012"/>
    <w:rsid w:val="00057257"/>
    <w:rsid w:val="00057378"/>
    <w:rsid w:val="00057759"/>
    <w:rsid w:val="00057ABD"/>
    <w:rsid w:val="00060724"/>
    <w:rsid w:val="00061219"/>
    <w:rsid w:val="0006141D"/>
    <w:rsid w:val="00061631"/>
    <w:rsid w:val="000628AD"/>
    <w:rsid w:val="00063195"/>
    <w:rsid w:val="0006368F"/>
    <w:rsid w:val="00064A5D"/>
    <w:rsid w:val="00064F52"/>
    <w:rsid w:val="000654B8"/>
    <w:rsid w:val="000656A5"/>
    <w:rsid w:val="000656ED"/>
    <w:rsid w:val="00065E0F"/>
    <w:rsid w:val="000660C9"/>
    <w:rsid w:val="000678CE"/>
    <w:rsid w:val="00070120"/>
    <w:rsid w:val="00070595"/>
    <w:rsid w:val="0007086A"/>
    <w:rsid w:val="00070C4D"/>
    <w:rsid w:val="0007139E"/>
    <w:rsid w:val="00072DAB"/>
    <w:rsid w:val="000735A6"/>
    <w:rsid w:val="00073D25"/>
    <w:rsid w:val="00074168"/>
    <w:rsid w:val="00076568"/>
    <w:rsid w:val="000769C5"/>
    <w:rsid w:val="00080963"/>
    <w:rsid w:val="00081949"/>
    <w:rsid w:val="00081D03"/>
    <w:rsid w:val="00081E2C"/>
    <w:rsid w:val="0008259D"/>
    <w:rsid w:val="000825CE"/>
    <w:rsid w:val="0008303C"/>
    <w:rsid w:val="000835F4"/>
    <w:rsid w:val="000842B3"/>
    <w:rsid w:val="00084646"/>
    <w:rsid w:val="000856EB"/>
    <w:rsid w:val="0008605B"/>
    <w:rsid w:val="000863FB"/>
    <w:rsid w:val="000868B0"/>
    <w:rsid w:val="00086B95"/>
    <w:rsid w:val="00087292"/>
    <w:rsid w:val="000872AA"/>
    <w:rsid w:val="00087426"/>
    <w:rsid w:val="0009104D"/>
    <w:rsid w:val="00091053"/>
    <w:rsid w:val="0009134F"/>
    <w:rsid w:val="00091B9E"/>
    <w:rsid w:val="000927F7"/>
    <w:rsid w:val="00092A22"/>
    <w:rsid w:val="0009317F"/>
    <w:rsid w:val="000933EF"/>
    <w:rsid w:val="00093586"/>
    <w:rsid w:val="00093BBF"/>
    <w:rsid w:val="000945FE"/>
    <w:rsid w:val="00094CFB"/>
    <w:rsid w:val="0009550D"/>
    <w:rsid w:val="0009561F"/>
    <w:rsid w:val="000971CA"/>
    <w:rsid w:val="000A0758"/>
    <w:rsid w:val="000A189F"/>
    <w:rsid w:val="000A1B5E"/>
    <w:rsid w:val="000A251F"/>
    <w:rsid w:val="000A30BF"/>
    <w:rsid w:val="000A334A"/>
    <w:rsid w:val="000A34F0"/>
    <w:rsid w:val="000A3565"/>
    <w:rsid w:val="000A3E95"/>
    <w:rsid w:val="000A45FC"/>
    <w:rsid w:val="000A49A9"/>
    <w:rsid w:val="000A4C83"/>
    <w:rsid w:val="000A4E27"/>
    <w:rsid w:val="000A7111"/>
    <w:rsid w:val="000A7FB5"/>
    <w:rsid w:val="000B0FF4"/>
    <w:rsid w:val="000B21F0"/>
    <w:rsid w:val="000B3206"/>
    <w:rsid w:val="000B3770"/>
    <w:rsid w:val="000B3EC8"/>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716"/>
    <w:rsid w:val="000C5BD5"/>
    <w:rsid w:val="000C5F46"/>
    <w:rsid w:val="000C6181"/>
    <w:rsid w:val="000C6A3B"/>
    <w:rsid w:val="000C7C2C"/>
    <w:rsid w:val="000D03DB"/>
    <w:rsid w:val="000D0840"/>
    <w:rsid w:val="000D0996"/>
    <w:rsid w:val="000D0BDA"/>
    <w:rsid w:val="000D27C8"/>
    <w:rsid w:val="000D3F90"/>
    <w:rsid w:val="000D4592"/>
    <w:rsid w:val="000D53F0"/>
    <w:rsid w:val="000D5743"/>
    <w:rsid w:val="000D5BBF"/>
    <w:rsid w:val="000D6092"/>
    <w:rsid w:val="000D64A8"/>
    <w:rsid w:val="000D668B"/>
    <w:rsid w:val="000D6EA5"/>
    <w:rsid w:val="000D736F"/>
    <w:rsid w:val="000E0F51"/>
    <w:rsid w:val="000E25E7"/>
    <w:rsid w:val="000E262F"/>
    <w:rsid w:val="000E3925"/>
    <w:rsid w:val="000E42A0"/>
    <w:rsid w:val="000E5031"/>
    <w:rsid w:val="000E5ED9"/>
    <w:rsid w:val="000E6A1D"/>
    <w:rsid w:val="000F0FEB"/>
    <w:rsid w:val="000F1236"/>
    <w:rsid w:val="000F1311"/>
    <w:rsid w:val="000F265D"/>
    <w:rsid w:val="000F26D4"/>
    <w:rsid w:val="000F2708"/>
    <w:rsid w:val="000F2B34"/>
    <w:rsid w:val="000F2E97"/>
    <w:rsid w:val="000F2F38"/>
    <w:rsid w:val="000F3241"/>
    <w:rsid w:val="000F39B3"/>
    <w:rsid w:val="000F4E29"/>
    <w:rsid w:val="000F4E5E"/>
    <w:rsid w:val="000F59B4"/>
    <w:rsid w:val="000F626E"/>
    <w:rsid w:val="000F6D4C"/>
    <w:rsid w:val="000F7927"/>
    <w:rsid w:val="000F7F47"/>
    <w:rsid w:val="001007D8"/>
    <w:rsid w:val="00101786"/>
    <w:rsid w:val="00101B13"/>
    <w:rsid w:val="0010341B"/>
    <w:rsid w:val="001039E0"/>
    <w:rsid w:val="00103BED"/>
    <w:rsid w:val="00103F13"/>
    <w:rsid w:val="00104327"/>
    <w:rsid w:val="001049A9"/>
    <w:rsid w:val="00104CD5"/>
    <w:rsid w:val="0010708D"/>
    <w:rsid w:val="001072A9"/>
    <w:rsid w:val="00107A58"/>
    <w:rsid w:val="00107F72"/>
    <w:rsid w:val="00110803"/>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3E"/>
    <w:rsid w:val="00122CFF"/>
    <w:rsid w:val="00123916"/>
    <w:rsid w:val="00124233"/>
    <w:rsid w:val="001250E6"/>
    <w:rsid w:val="001262B0"/>
    <w:rsid w:val="001269C6"/>
    <w:rsid w:val="00126BAE"/>
    <w:rsid w:val="00127236"/>
    <w:rsid w:val="001277C0"/>
    <w:rsid w:val="00127DEC"/>
    <w:rsid w:val="0013009A"/>
    <w:rsid w:val="00130370"/>
    <w:rsid w:val="00130AD2"/>
    <w:rsid w:val="001319AF"/>
    <w:rsid w:val="001326F9"/>
    <w:rsid w:val="0013283F"/>
    <w:rsid w:val="00132867"/>
    <w:rsid w:val="00132BBF"/>
    <w:rsid w:val="00133B6F"/>
    <w:rsid w:val="001341DA"/>
    <w:rsid w:val="00134243"/>
    <w:rsid w:val="00134F42"/>
    <w:rsid w:val="001350ED"/>
    <w:rsid w:val="00135B12"/>
    <w:rsid w:val="00137345"/>
    <w:rsid w:val="00137963"/>
    <w:rsid w:val="001402B1"/>
    <w:rsid w:val="0014075C"/>
    <w:rsid w:val="00141354"/>
    <w:rsid w:val="001417BF"/>
    <w:rsid w:val="00142CB5"/>
    <w:rsid w:val="00144062"/>
    <w:rsid w:val="00144CC1"/>
    <w:rsid w:val="00144EEE"/>
    <w:rsid w:val="00145376"/>
    <w:rsid w:val="0014550D"/>
    <w:rsid w:val="001455D0"/>
    <w:rsid w:val="00145A2B"/>
    <w:rsid w:val="00146C58"/>
    <w:rsid w:val="00146F30"/>
    <w:rsid w:val="00147D03"/>
    <w:rsid w:val="00150EA9"/>
    <w:rsid w:val="0015196C"/>
    <w:rsid w:val="00152219"/>
    <w:rsid w:val="001532E5"/>
    <w:rsid w:val="0015392D"/>
    <w:rsid w:val="001540B9"/>
    <w:rsid w:val="001547C4"/>
    <w:rsid w:val="00154F1C"/>
    <w:rsid w:val="00155717"/>
    <w:rsid w:val="00155929"/>
    <w:rsid w:val="00155E0E"/>
    <w:rsid w:val="00155E99"/>
    <w:rsid w:val="00157560"/>
    <w:rsid w:val="001577D4"/>
    <w:rsid w:val="001579DD"/>
    <w:rsid w:val="00160015"/>
    <w:rsid w:val="00162C26"/>
    <w:rsid w:val="00162FD8"/>
    <w:rsid w:val="00163D0D"/>
    <w:rsid w:val="00163EF2"/>
    <w:rsid w:val="00165184"/>
    <w:rsid w:val="00165198"/>
    <w:rsid w:val="00166053"/>
    <w:rsid w:val="00166932"/>
    <w:rsid w:val="0017031F"/>
    <w:rsid w:val="00170662"/>
    <w:rsid w:val="00170DE5"/>
    <w:rsid w:val="00171D53"/>
    <w:rsid w:val="00172222"/>
    <w:rsid w:val="001723E2"/>
    <w:rsid w:val="00172451"/>
    <w:rsid w:val="0017395C"/>
    <w:rsid w:val="00173CE0"/>
    <w:rsid w:val="00174F6C"/>
    <w:rsid w:val="00175CE4"/>
    <w:rsid w:val="00175DA7"/>
    <w:rsid w:val="001766B7"/>
    <w:rsid w:val="001772D5"/>
    <w:rsid w:val="001778FB"/>
    <w:rsid w:val="00180F75"/>
    <w:rsid w:val="00181143"/>
    <w:rsid w:val="001820CA"/>
    <w:rsid w:val="00182A63"/>
    <w:rsid w:val="00183A95"/>
    <w:rsid w:val="00183CF9"/>
    <w:rsid w:val="001860DD"/>
    <w:rsid w:val="00186C44"/>
    <w:rsid w:val="00186EFC"/>
    <w:rsid w:val="0018700C"/>
    <w:rsid w:val="001875EA"/>
    <w:rsid w:val="00187AA6"/>
    <w:rsid w:val="00187EF3"/>
    <w:rsid w:val="00192341"/>
    <w:rsid w:val="0019254E"/>
    <w:rsid w:val="001925D0"/>
    <w:rsid w:val="00192A80"/>
    <w:rsid w:val="0019316E"/>
    <w:rsid w:val="00193675"/>
    <w:rsid w:val="00193D92"/>
    <w:rsid w:val="00194A4B"/>
    <w:rsid w:val="00194FB5"/>
    <w:rsid w:val="0019548C"/>
    <w:rsid w:val="00195535"/>
    <w:rsid w:val="001962C8"/>
    <w:rsid w:val="0019631D"/>
    <w:rsid w:val="0019657E"/>
    <w:rsid w:val="00196EEE"/>
    <w:rsid w:val="00197350"/>
    <w:rsid w:val="001A079C"/>
    <w:rsid w:val="001A07DA"/>
    <w:rsid w:val="001A0B85"/>
    <w:rsid w:val="001A0BC9"/>
    <w:rsid w:val="001A15E8"/>
    <w:rsid w:val="001A3246"/>
    <w:rsid w:val="001A3505"/>
    <w:rsid w:val="001A35AD"/>
    <w:rsid w:val="001A3934"/>
    <w:rsid w:val="001A3989"/>
    <w:rsid w:val="001A3D02"/>
    <w:rsid w:val="001A4CD0"/>
    <w:rsid w:val="001A4EE7"/>
    <w:rsid w:val="001A5765"/>
    <w:rsid w:val="001A6225"/>
    <w:rsid w:val="001A6E4A"/>
    <w:rsid w:val="001A7517"/>
    <w:rsid w:val="001B00FB"/>
    <w:rsid w:val="001B07CD"/>
    <w:rsid w:val="001B0E6D"/>
    <w:rsid w:val="001B17EC"/>
    <w:rsid w:val="001B241A"/>
    <w:rsid w:val="001B3859"/>
    <w:rsid w:val="001B4212"/>
    <w:rsid w:val="001B5E1F"/>
    <w:rsid w:val="001B659A"/>
    <w:rsid w:val="001B6699"/>
    <w:rsid w:val="001B67B2"/>
    <w:rsid w:val="001B789F"/>
    <w:rsid w:val="001C0FD9"/>
    <w:rsid w:val="001C1C2F"/>
    <w:rsid w:val="001C1CFD"/>
    <w:rsid w:val="001C2215"/>
    <w:rsid w:val="001C3BE1"/>
    <w:rsid w:val="001C453F"/>
    <w:rsid w:val="001C4C3A"/>
    <w:rsid w:val="001C5694"/>
    <w:rsid w:val="001C5738"/>
    <w:rsid w:val="001C5AE6"/>
    <w:rsid w:val="001C5E35"/>
    <w:rsid w:val="001C6260"/>
    <w:rsid w:val="001C71C6"/>
    <w:rsid w:val="001C733E"/>
    <w:rsid w:val="001C7692"/>
    <w:rsid w:val="001C79FC"/>
    <w:rsid w:val="001C7CB1"/>
    <w:rsid w:val="001D0201"/>
    <w:rsid w:val="001D1AF0"/>
    <w:rsid w:val="001D1C0B"/>
    <w:rsid w:val="001D66E4"/>
    <w:rsid w:val="001D6982"/>
    <w:rsid w:val="001D6B40"/>
    <w:rsid w:val="001D6D11"/>
    <w:rsid w:val="001E013F"/>
    <w:rsid w:val="001E0BE2"/>
    <w:rsid w:val="001E1C76"/>
    <w:rsid w:val="001E1D03"/>
    <w:rsid w:val="001E1F44"/>
    <w:rsid w:val="001E22D4"/>
    <w:rsid w:val="001E2453"/>
    <w:rsid w:val="001E2F02"/>
    <w:rsid w:val="001E2FD2"/>
    <w:rsid w:val="001E3859"/>
    <w:rsid w:val="001E4240"/>
    <w:rsid w:val="001E4B64"/>
    <w:rsid w:val="001E4EB5"/>
    <w:rsid w:val="001E5477"/>
    <w:rsid w:val="001E584F"/>
    <w:rsid w:val="001E7091"/>
    <w:rsid w:val="001E72E9"/>
    <w:rsid w:val="001E7E73"/>
    <w:rsid w:val="001F031E"/>
    <w:rsid w:val="001F0B07"/>
    <w:rsid w:val="001F0BE9"/>
    <w:rsid w:val="001F169E"/>
    <w:rsid w:val="001F1E1E"/>
    <w:rsid w:val="001F445E"/>
    <w:rsid w:val="001F4768"/>
    <w:rsid w:val="001F4A5A"/>
    <w:rsid w:val="001F4B65"/>
    <w:rsid w:val="001F4D91"/>
    <w:rsid w:val="001F5B3B"/>
    <w:rsid w:val="001F5F46"/>
    <w:rsid w:val="001F5FF0"/>
    <w:rsid w:val="001F69CC"/>
    <w:rsid w:val="001F7B78"/>
    <w:rsid w:val="001F7C21"/>
    <w:rsid w:val="00200413"/>
    <w:rsid w:val="00200DE6"/>
    <w:rsid w:val="0020110E"/>
    <w:rsid w:val="00201C3B"/>
    <w:rsid w:val="00202836"/>
    <w:rsid w:val="00203012"/>
    <w:rsid w:val="002030E1"/>
    <w:rsid w:val="00203547"/>
    <w:rsid w:val="00203888"/>
    <w:rsid w:val="00203B01"/>
    <w:rsid w:val="0020467B"/>
    <w:rsid w:val="002049FF"/>
    <w:rsid w:val="00206A45"/>
    <w:rsid w:val="00206C4E"/>
    <w:rsid w:val="002072FE"/>
    <w:rsid w:val="00210026"/>
    <w:rsid w:val="0021039F"/>
    <w:rsid w:val="0021115F"/>
    <w:rsid w:val="00211B36"/>
    <w:rsid w:val="002120CA"/>
    <w:rsid w:val="002129A6"/>
    <w:rsid w:val="00213847"/>
    <w:rsid w:val="00214B06"/>
    <w:rsid w:val="00216049"/>
    <w:rsid w:val="002164CB"/>
    <w:rsid w:val="00220801"/>
    <w:rsid w:val="00220AB4"/>
    <w:rsid w:val="00220DFE"/>
    <w:rsid w:val="00220FA5"/>
    <w:rsid w:val="00221ADE"/>
    <w:rsid w:val="00221EF3"/>
    <w:rsid w:val="00223FFF"/>
    <w:rsid w:val="00224ABD"/>
    <w:rsid w:val="00231273"/>
    <w:rsid w:val="00231A04"/>
    <w:rsid w:val="00231E17"/>
    <w:rsid w:val="00232663"/>
    <w:rsid w:val="00233238"/>
    <w:rsid w:val="00234145"/>
    <w:rsid w:val="0023447F"/>
    <w:rsid w:val="002344FA"/>
    <w:rsid w:val="00234842"/>
    <w:rsid w:val="00236049"/>
    <w:rsid w:val="00236729"/>
    <w:rsid w:val="00236C16"/>
    <w:rsid w:val="00236F7A"/>
    <w:rsid w:val="0023746A"/>
    <w:rsid w:val="002402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3766"/>
    <w:rsid w:val="00253E0B"/>
    <w:rsid w:val="002552DE"/>
    <w:rsid w:val="0025653B"/>
    <w:rsid w:val="00260BAE"/>
    <w:rsid w:val="00260F37"/>
    <w:rsid w:val="00261EE1"/>
    <w:rsid w:val="002627AC"/>
    <w:rsid w:val="0026297A"/>
    <w:rsid w:val="00262FBA"/>
    <w:rsid w:val="002637B3"/>
    <w:rsid w:val="002639FF"/>
    <w:rsid w:val="00263A40"/>
    <w:rsid w:val="00263DF7"/>
    <w:rsid w:val="002640F7"/>
    <w:rsid w:val="0026449B"/>
    <w:rsid w:val="00264818"/>
    <w:rsid w:val="00264DA2"/>
    <w:rsid w:val="00265BDA"/>
    <w:rsid w:val="00266743"/>
    <w:rsid w:val="002674D1"/>
    <w:rsid w:val="00267BD9"/>
    <w:rsid w:val="00270752"/>
    <w:rsid w:val="0027117E"/>
    <w:rsid w:val="00271180"/>
    <w:rsid w:val="002711E9"/>
    <w:rsid w:val="002714EB"/>
    <w:rsid w:val="00272CA1"/>
    <w:rsid w:val="00273B76"/>
    <w:rsid w:val="00273B8E"/>
    <w:rsid w:val="002741FF"/>
    <w:rsid w:val="00274EF0"/>
    <w:rsid w:val="002753FA"/>
    <w:rsid w:val="00275485"/>
    <w:rsid w:val="00275B9B"/>
    <w:rsid w:val="00275F65"/>
    <w:rsid w:val="00276243"/>
    <w:rsid w:val="00280620"/>
    <w:rsid w:val="00281BA4"/>
    <w:rsid w:val="00281F72"/>
    <w:rsid w:val="0028239B"/>
    <w:rsid w:val="0028582E"/>
    <w:rsid w:val="00285E2D"/>
    <w:rsid w:val="00285FCF"/>
    <w:rsid w:val="00286CD4"/>
    <w:rsid w:val="002871A5"/>
    <w:rsid w:val="00287543"/>
    <w:rsid w:val="0029164F"/>
    <w:rsid w:val="002920CC"/>
    <w:rsid w:val="002933B0"/>
    <w:rsid w:val="00293438"/>
    <w:rsid w:val="00293609"/>
    <w:rsid w:val="0029415A"/>
    <w:rsid w:val="0029476E"/>
    <w:rsid w:val="00295E1A"/>
    <w:rsid w:val="0029648C"/>
    <w:rsid w:val="00297199"/>
    <w:rsid w:val="002971B9"/>
    <w:rsid w:val="00297420"/>
    <w:rsid w:val="002976BE"/>
    <w:rsid w:val="0029796A"/>
    <w:rsid w:val="002A1419"/>
    <w:rsid w:val="002A14A9"/>
    <w:rsid w:val="002A1D88"/>
    <w:rsid w:val="002A3893"/>
    <w:rsid w:val="002A5152"/>
    <w:rsid w:val="002A5B5A"/>
    <w:rsid w:val="002A5EBD"/>
    <w:rsid w:val="002A623F"/>
    <w:rsid w:val="002A62AA"/>
    <w:rsid w:val="002A7523"/>
    <w:rsid w:val="002A765A"/>
    <w:rsid w:val="002A7B56"/>
    <w:rsid w:val="002A7D5E"/>
    <w:rsid w:val="002B0DC1"/>
    <w:rsid w:val="002B0FCF"/>
    <w:rsid w:val="002B1432"/>
    <w:rsid w:val="002B2DC8"/>
    <w:rsid w:val="002B45B0"/>
    <w:rsid w:val="002B5070"/>
    <w:rsid w:val="002B5225"/>
    <w:rsid w:val="002B6266"/>
    <w:rsid w:val="002B6577"/>
    <w:rsid w:val="002B68F5"/>
    <w:rsid w:val="002B75A9"/>
    <w:rsid w:val="002B7C94"/>
    <w:rsid w:val="002C04F0"/>
    <w:rsid w:val="002C0EAD"/>
    <w:rsid w:val="002C0FF9"/>
    <w:rsid w:val="002C196F"/>
    <w:rsid w:val="002C47BB"/>
    <w:rsid w:val="002C4AFA"/>
    <w:rsid w:val="002C5212"/>
    <w:rsid w:val="002C5EF1"/>
    <w:rsid w:val="002C68B9"/>
    <w:rsid w:val="002C6B16"/>
    <w:rsid w:val="002C75B4"/>
    <w:rsid w:val="002C7EBE"/>
    <w:rsid w:val="002C7F09"/>
    <w:rsid w:val="002D036D"/>
    <w:rsid w:val="002D0461"/>
    <w:rsid w:val="002D05C1"/>
    <w:rsid w:val="002D13F0"/>
    <w:rsid w:val="002D1B66"/>
    <w:rsid w:val="002D1C5F"/>
    <w:rsid w:val="002D29F8"/>
    <w:rsid w:val="002D3AA4"/>
    <w:rsid w:val="002D4146"/>
    <w:rsid w:val="002D51B7"/>
    <w:rsid w:val="002D5702"/>
    <w:rsid w:val="002D5935"/>
    <w:rsid w:val="002D62DC"/>
    <w:rsid w:val="002D7C76"/>
    <w:rsid w:val="002D7F65"/>
    <w:rsid w:val="002E003B"/>
    <w:rsid w:val="002E1308"/>
    <w:rsid w:val="002E1476"/>
    <w:rsid w:val="002E2299"/>
    <w:rsid w:val="002E262D"/>
    <w:rsid w:val="002E3FC9"/>
    <w:rsid w:val="002E4E8B"/>
    <w:rsid w:val="002E52D3"/>
    <w:rsid w:val="002E5593"/>
    <w:rsid w:val="002E6110"/>
    <w:rsid w:val="002E68A3"/>
    <w:rsid w:val="002E70EA"/>
    <w:rsid w:val="002E7B4E"/>
    <w:rsid w:val="002E7BED"/>
    <w:rsid w:val="002F0754"/>
    <w:rsid w:val="002F0B1F"/>
    <w:rsid w:val="002F19D0"/>
    <w:rsid w:val="002F1DE1"/>
    <w:rsid w:val="002F1F4D"/>
    <w:rsid w:val="002F2156"/>
    <w:rsid w:val="002F2B93"/>
    <w:rsid w:val="002F2D3A"/>
    <w:rsid w:val="002F32FF"/>
    <w:rsid w:val="002F3747"/>
    <w:rsid w:val="002F44BE"/>
    <w:rsid w:val="002F451E"/>
    <w:rsid w:val="002F4F30"/>
    <w:rsid w:val="002F5059"/>
    <w:rsid w:val="002F58A5"/>
    <w:rsid w:val="002F66D3"/>
    <w:rsid w:val="002F7360"/>
    <w:rsid w:val="002F7370"/>
    <w:rsid w:val="002F73F0"/>
    <w:rsid w:val="002F7BAB"/>
    <w:rsid w:val="003004C3"/>
    <w:rsid w:val="00300C8B"/>
    <w:rsid w:val="00300CA4"/>
    <w:rsid w:val="00300F5D"/>
    <w:rsid w:val="003020FB"/>
    <w:rsid w:val="003021DA"/>
    <w:rsid w:val="003025B2"/>
    <w:rsid w:val="00302A40"/>
    <w:rsid w:val="00304619"/>
    <w:rsid w:val="003049D3"/>
    <w:rsid w:val="00305B7F"/>
    <w:rsid w:val="00305D9E"/>
    <w:rsid w:val="00306A6C"/>
    <w:rsid w:val="00306CE7"/>
    <w:rsid w:val="00306EA0"/>
    <w:rsid w:val="00306F06"/>
    <w:rsid w:val="003075BE"/>
    <w:rsid w:val="00307F26"/>
    <w:rsid w:val="003102D7"/>
    <w:rsid w:val="00310798"/>
    <w:rsid w:val="00310CED"/>
    <w:rsid w:val="003110D7"/>
    <w:rsid w:val="0031171A"/>
    <w:rsid w:val="00311E94"/>
    <w:rsid w:val="003128A3"/>
    <w:rsid w:val="00312B2D"/>
    <w:rsid w:val="00312E10"/>
    <w:rsid w:val="0031434D"/>
    <w:rsid w:val="00314AEB"/>
    <w:rsid w:val="003154B9"/>
    <w:rsid w:val="003157F9"/>
    <w:rsid w:val="00316721"/>
    <w:rsid w:val="00316E7C"/>
    <w:rsid w:val="00317458"/>
    <w:rsid w:val="003205F8"/>
    <w:rsid w:val="00321454"/>
    <w:rsid w:val="003214A9"/>
    <w:rsid w:val="00321EBC"/>
    <w:rsid w:val="0032253F"/>
    <w:rsid w:val="00322AAC"/>
    <w:rsid w:val="003234B7"/>
    <w:rsid w:val="003249FB"/>
    <w:rsid w:val="003251DF"/>
    <w:rsid w:val="00325660"/>
    <w:rsid w:val="00325984"/>
    <w:rsid w:val="0032684C"/>
    <w:rsid w:val="00326C73"/>
    <w:rsid w:val="003277FB"/>
    <w:rsid w:val="00327F03"/>
    <w:rsid w:val="0033017E"/>
    <w:rsid w:val="00330314"/>
    <w:rsid w:val="00330638"/>
    <w:rsid w:val="00331533"/>
    <w:rsid w:val="00331F6A"/>
    <w:rsid w:val="003323E3"/>
    <w:rsid w:val="003333CF"/>
    <w:rsid w:val="00333B6C"/>
    <w:rsid w:val="0033484A"/>
    <w:rsid w:val="00334AFB"/>
    <w:rsid w:val="00334DF0"/>
    <w:rsid w:val="00335E6C"/>
    <w:rsid w:val="00337FA1"/>
    <w:rsid w:val="00340111"/>
    <w:rsid w:val="00341ABD"/>
    <w:rsid w:val="00341FFA"/>
    <w:rsid w:val="00342598"/>
    <w:rsid w:val="00343C04"/>
    <w:rsid w:val="003452D4"/>
    <w:rsid w:val="00346268"/>
    <w:rsid w:val="003464F9"/>
    <w:rsid w:val="00346DEA"/>
    <w:rsid w:val="00347804"/>
    <w:rsid w:val="0035139A"/>
    <w:rsid w:val="00351A18"/>
    <w:rsid w:val="00351AEE"/>
    <w:rsid w:val="00351FE0"/>
    <w:rsid w:val="00352AAA"/>
    <w:rsid w:val="00352F78"/>
    <w:rsid w:val="003530B1"/>
    <w:rsid w:val="0035324E"/>
    <w:rsid w:val="00353A06"/>
    <w:rsid w:val="00353ABE"/>
    <w:rsid w:val="00353DE0"/>
    <w:rsid w:val="00354782"/>
    <w:rsid w:val="003549DC"/>
    <w:rsid w:val="00354C25"/>
    <w:rsid w:val="00355DD1"/>
    <w:rsid w:val="00357154"/>
    <w:rsid w:val="0035760B"/>
    <w:rsid w:val="0035777E"/>
    <w:rsid w:val="00357A1E"/>
    <w:rsid w:val="003604AC"/>
    <w:rsid w:val="00361A85"/>
    <w:rsid w:val="00363373"/>
    <w:rsid w:val="003638A5"/>
    <w:rsid w:val="00363FD7"/>
    <w:rsid w:val="00364448"/>
    <w:rsid w:val="0036548F"/>
    <w:rsid w:val="00365614"/>
    <w:rsid w:val="00365A8D"/>
    <w:rsid w:val="003667F7"/>
    <w:rsid w:val="00370290"/>
    <w:rsid w:val="00370303"/>
    <w:rsid w:val="003703E6"/>
    <w:rsid w:val="00370748"/>
    <w:rsid w:val="00372765"/>
    <w:rsid w:val="00372955"/>
    <w:rsid w:val="00372ED0"/>
    <w:rsid w:val="00372ED9"/>
    <w:rsid w:val="00373EAC"/>
    <w:rsid w:val="0037503E"/>
    <w:rsid w:val="00375065"/>
    <w:rsid w:val="00376FB1"/>
    <w:rsid w:val="00377DFB"/>
    <w:rsid w:val="0038098B"/>
    <w:rsid w:val="003812B7"/>
    <w:rsid w:val="003814CE"/>
    <w:rsid w:val="003817EB"/>
    <w:rsid w:val="00381B89"/>
    <w:rsid w:val="00382ECD"/>
    <w:rsid w:val="00383184"/>
    <w:rsid w:val="00384059"/>
    <w:rsid w:val="00385522"/>
    <w:rsid w:val="00385A45"/>
    <w:rsid w:val="003862F0"/>
    <w:rsid w:val="00386FEE"/>
    <w:rsid w:val="00387F78"/>
    <w:rsid w:val="003908F1"/>
    <w:rsid w:val="00391544"/>
    <w:rsid w:val="00392B42"/>
    <w:rsid w:val="003938AD"/>
    <w:rsid w:val="00393CB5"/>
    <w:rsid w:val="00394303"/>
    <w:rsid w:val="00394E33"/>
    <w:rsid w:val="00395078"/>
    <w:rsid w:val="00395571"/>
    <w:rsid w:val="003955A7"/>
    <w:rsid w:val="003968FA"/>
    <w:rsid w:val="003A06D1"/>
    <w:rsid w:val="003A1FA8"/>
    <w:rsid w:val="003A20A6"/>
    <w:rsid w:val="003A5787"/>
    <w:rsid w:val="003A5DBD"/>
    <w:rsid w:val="003A61B8"/>
    <w:rsid w:val="003A62BE"/>
    <w:rsid w:val="003A64DE"/>
    <w:rsid w:val="003A7B42"/>
    <w:rsid w:val="003B0F6C"/>
    <w:rsid w:val="003B1065"/>
    <w:rsid w:val="003B1B17"/>
    <w:rsid w:val="003B33A6"/>
    <w:rsid w:val="003B413E"/>
    <w:rsid w:val="003B4233"/>
    <w:rsid w:val="003B45AB"/>
    <w:rsid w:val="003B4BF8"/>
    <w:rsid w:val="003B50C1"/>
    <w:rsid w:val="003B548B"/>
    <w:rsid w:val="003B6A5A"/>
    <w:rsid w:val="003B7D79"/>
    <w:rsid w:val="003C07F2"/>
    <w:rsid w:val="003C2423"/>
    <w:rsid w:val="003C278B"/>
    <w:rsid w:val="003C30D1"/>
    <w:rsid w:val="003C377C"/>
    <w:rsid w:val="003C5956"/>
    <w:rsid w:val="003C67B5"/>
    <w:rsid w:val="003C7CD0"/>
    <w:rsid w:val="003D197F"/>
    <w:rsid w:val="003D2E27"/>
    <w:rsid w:val="003D33FA"/>
    <w:rsid w:val="003D3A85"/>
    <w:rsid w:val="003D5221"/>
    <w:rsid w:val="003D55BF"/>
    <w:rsid w:val="003D6444"/>
    <w:rsid w:val="003D6D63"/>
    <w:rsid w:val="003E0483"/>
    <w:rsid w:val="003E1079"/>
    <w:rsid w:val="003E359C"/>
    <w:rsid w:val="003E39DE"/>
    <w:rsid w:val="003E3FD8"/>
    <w:rsid w:val="003E452D"/>
    <w:rsid w:val="003E5626"/>
    <w:rsid w:val="003E6069"/>
    <w:rsid w:val="003E6505"/>
    <w:rsid w:val="003E67DD"/>
    <w:rsid w:val="003E700C"/>
    <w:rsid w:val="003F0250"/>
    <w:rsid w:val="003F16C5"/>
    <w:rsid w:val="003F2586"/>
    <w:rsid w:val="003F2EBB"/>
    <w:rsid w:val="003F2EF7"/>
    <w:rsid w:val="003F47BF"/>
    <w:rsid w:val="003F4BA4"/>
    <w:rsid w:val="003F4F8A"/>
    <w:rsid w:val="003F5A76"/>
    <w:rsid w:val="003F5AF3"/>
    <w:rsid w:val="003F61EF"/>
    <w:rsid w:val="003F7C83"/>
    <w:rsid w:val="0040042D"/>
    <w:rsid w:val="00400743"/>
    <w:rsid w:val="00400944"/>
    <w:rsid w:val="00401A07"/>
    <w:rsid w:val="00402557"/>
    <w:rsid w:val="004042E3"/>
    <w:rsid w:val="00405592"/>
    <w:rsid w:val="004059B8"/>
    <w:rsid w:val="00406503"/>
    <w:rsid w:val="004065D9"/>
    <w:rsid w:val="004119A1"/>
    <w:rsid w:val="00412255"/>
    <w:rsid w:val="00413141"/>
    <w:rsid w:val="0041314A"/>
    <w:rsid w:val="004147C0"/>
    <w:rsid w:val="00414910"/>
    <w:rsid w:val="00414AC1"/>
    <w:rsid w:val="00415609"/>
    <w:rsid w:val="00415F8E"/>
    <w:rsid w:val="0041608E"/>
    <w:rsid w:val="00420772"/>
    <w:rsid w:val="0042159B"/>
    <w:rsid w:val="004219D8"/>
    <w:rsid w:val="00423026"/>
    <w:rsid w:val="0042323C"/>
    <w:rsid w:val="00423330"/>
    <w:rsid w:val="00423965"/>
    <w:rsid w:val="004242BA"/>
    <w:rsid w:val="00424E6B"/>
    <w:rsid w:val="00425184"/>
    <w:rsid w:val="00425AD9"/>
    <w:rsid w:val="00425E6F"/>
    <w:rsid w:val="00426EFB"/>
    <w:rsid w:val="00426F82"/>
    <w:rsid w:val="0042718C"/>
    <w:rsid w:val="004272DF"/>
    <w:rsid w:val="00430269"/>
    <w:rsid w:val="00430385"/>
    <w:rsid w:val="004307F2"/>
    <w:rsid w:val="00430B0C"/>
    <w:rsid w:val="0043102C"/>
    <w:rsid w:val="00431461"/>
    <w:rsid w:val="00432AE1"/>
    <w:rsid w:val="00433341"/>
    <w:rsid w:val="00433356"/>
    <w:rsid w:val="00435371"/>
    <w:rsid w:val="00436B64"/>
    <w:rsid w:val="00441B76"/>
    <w:rsid w:val="00442A9B"/>
    <w:rsid w:val="00443952"/>
    <w:rsid w:val="004441BD"/>
    <w:rsid w:val="004449A7"/>
    <w:rsid w:val="00445399"/>
    <w:rsid w:val="0044615C"/>
    <w:rsid w:val="00447D73"/>
    <w:rsid w:val="004506BE"/>
    <w:rsid w:val="00450F31"/>
    <w:rsid w:val="00451496"/>
    <w:rsid w:val="0045184A"/>
    <w:rsid w:val="00452579"/>
    <w:rsid w:val="00452801"/>
    <w:rsid w:val="00452D4A"/>
    <w:rsid w:val="00453315"/>
    <w:rsid w:val="0045494F"/>
    <w:rsid w:val="00454EF4"/>
    <w:rsid w:val="004551D9"/>
    <w:rsid w:val="004556A4"/>
    <w:rsid w:val="00455B56"/>
    <w:rsid w:val="00456243"/>
    <w:rsid w:val="00456DF0"/>
    <w:rsid w:val="00456E0B"/>
    <w:rsid w:val="00457A52"/>
    <w:rsid w:val="00457B69"/>
    <w:rsid w:val="004605D7"/>
    <w:rsid w:val="00461853"/>
    <w:rsid w:val="00461A2A"/>
    <w:rsid w:val="00461BE3"/>
    <w:rsid w:val="00464136"/>
    <w:rsid w:val="004649FF"/>
    <w:rsid w:val="0046701A"/>
    <w:rsid w:val="004703D8"/>
    <w:rsid w:val="00470FB8"/>
    <w:rsid w:val="004711EE"/>
    <w:rsid w:val="00471D21"/>
    <w:rsid w:val="00472D65"/>
    <w:rsid w:val="00473C1E"/>
    <w:rsid w:val="0047493F"/>
    <w:rsid w:val="00476E5E"/>
    <w:rsid w:val="00477869"/>
    <w:rsid w:val="00481DD1"/>
    <w:rsid w:val="004832AF"/>
    <w:rsid w:val="004834D4"/>
    <w:rsid w:val="00483E3A"/>
    <w:rsid w:val="00484BE0"/>
    <w:rsid w:val="00484D83"/>
    <w:rsid w:val="0048513F"/>
    <w:rsid w:val="00485265"/>
    <w:rsid w:val="0048533F"/>
    <w:rsid w:val="004853E1"/>
    <w:rsid w:val="00486B6D"/>
    <w:rsid w:val="0048761A"/>
    <w:rsid w:val="00487BF5"/>
    <w:rsid w:val="00491626"/>
    <w:rsid w:val="00491975"/>
    <w:rsid w:val="00491D44"/>
    <w:rsid w:val="00492AE3"/>
    <w:rsid w:val="00492EFA"/>
    <w:rsid w:val="00492FBD"/>
    <w:rsid w:val="00492FFD"/>
    <w:rsid w:val="00493A21"/>
    <w:rsid w:val="00493AA9"/>
    <w:rsid w:val="00493D4E"/>
    <w:rsid w:val="00493DA7"/>
    <w:rsid w:val="00494D37"/>
    <w:rsid w:val="0049528A"/>
    <w:rsid w:val="004952D6"/>
    <w:rsid w:val="00496672"/>
    <w:rsid w:val="00496676"/>
    <w:rsid w:val="00496D5C"/>
    <w:rsid w:val="004A119D"/>
    <w:rsid w:val="004A25CC"/>
    <w:rsid w:val="004A25D6"/>
    <w:rsid w:val="004A27EA"/>
    <w:rsid w:val="004A297D"/>
    <w:rsid w:val="004A45DC"/>
    <w:rsid w:val="004A690B"/>
    <w:rsid w:val="004A732E"/>
    <w:rsid w:val="004B002D"/>
    <w:rsid w:val="004B1386"/>
    <w:rsid w:val="004B2EC3"/>
    <w:rsid w:val="004B3136"/>
    <w:rsid w:val="004B3238"/>
    <w:rsid w:val="004B35FA"/>
    <w:rsid w:val="004B4144"/>
    <w:rsid w:val="004B4862"/>
    <w:rsid w:val="004B5091"/>
    <w:rsid w:val="004B52A6"/>
    <w:rsid w:val="004B55B5"/>
    <w:rsid w:val="004B634E"/>
    <w:rsid w:val="004B66AA"/>
    <w:rsid w:val="004B6B8A"/>
    <w:rsid w:val="004B6E30"/>
    <w:rsid w:val="004B7587"/>
    <w:rsid w:val="004C0487"/>
    <w:rsid w:val="004C18CE"/>
    <w:rsid w:val="004C1B42"/>
    <w:rsid w:val="004C23B6"/>
    <w:rsid w:val="004C2904"/>
    <w:rsid w:val="004C3000"/>
    <w:rsid w:val="004C32FB"/>
    <w:rsid w:val="004C3857"/>
    <w:rsid w:val="004C4FC7"/>
    <w:rsid w:val="004D0C64"/>
    <w:rsid w:val="004D193C"/>
    <w:rsid w:val="004D283A"/>
    <w:rsid w:val="004D2D0A"/>
    <w:rsid w:val="004D43CF"/>
    <w:rsid w:val="004D58CD"/>
    <w:rsid w:val="004D6D8F"/>
    <w:rsid w:val="004D76D7"/>
    <w:rsid w:val="004D76D9"/>
    <w:rsid w:val="004E0993"/>
    <w:rsid w:val="004E0E65"/>
    <w:rsid w:val="004E0F8A"/>
    <w:rsid w:val="004E1B65"/>
    <w:rsid w:val="004E218D"/>
    <w:rsid w:val="004E22C3"/>
    <w:rsid w:val="004E27F0"/>
    <w:rsid w:val="004E3068"/>
    <w:rsid w:val="004E37DB"/>
    <w:rsid w:val="004E3CCF"/>
    <w:rsid w:val="004E43D9"/>
    <w:rsid w:val="004E6092"/>
    <w:rsid w:val="004E6617"/>
    <w:rsid w:val="004E7335"/>
    <w:rsid w:val="004E7B2E"/>
    <w:rsid w:val="004F013F"/>
    <w:rsid w:val="004F034B"/>
    <w:rsid w:val="004F092E"/>
    <w:rsid w:val="004F1311"/>
    <w:rsid w:val="004F1AC3"/>
    <w:rsid w:val="004F21B4"/>
    <w:rsid w:val="004F3209"/>
    <w:rsid w:val="004F3273"/>
    <w:rsid w:val="004F39D8"/>
    <w:rsid w:val="004F40E6"/>
    <w:rsid w:val="004F48FF"/>
    <w:rsid w:val="004F49C8"/>
    <w:rsid w:val="004F5296"/>
    <w:rsid w:val="004F6881"/>
    <w:rsid w:val="00501524"/>
    <w:rsid w:val="00502A93"/>
    <w:rsid w:val="00503144"/>
    <w:rsid w:val="005056E4"/>
    <w:rsid w:val="00506030"/>
    <w:rsid w:val="00506BAA"/>
    <w:rsid w:val="00506C30"/>
    <w:rsid w:val="005101FC"/>
    <w:rsid w:val="00512F60"/>
    <w:rsid w:val="005134DB"/>
    <w:rsid w:val="00513688"/>
    <w:rsid w:val="00513DDA"/>
    <w:rsid w:val="00513E24"/>
    <w:rsid w:val="005147F9"/>
    <w:rsid w:val="005158F9"/>
    <w:rsid w:val="00516182"/>
    <w:rsid w:val="00516BE0"/>
    <w:rsid w:val="005171B3"/>
    <w:rsid w:val="00520055"/>
    <w:rsid w:val="00520D12"/>
    <w:rsid w:val="0052151E"/>
    <w:rsid w:val="0052168B"/>
    <w:rsid w:val="00521CB7"/>
    <w:rsid w:val="0052291A"/>
    <w:rsid w:val="0052319E"/>
    <w:rsid w:val="00523893"/>
    <w:rsid w:val="00524203"/>
    <w:rsid w:val="00524A7C"/>
    <w:rsid w:val="00525C33"/>
    <w:rsid w:val="00526ECB"/>
    <w:rsid w:val="005273F9"/>
    <w:rsid w:val="00527922"/>
    <w:rsid w:val="0053024A"/>
    <w:rsid w:val="00531259"/>
    <w:rsid w:val="005334E1"/>
    <w:rsid w:val="005335B4"/>
    <w:rsid w:val="00533D24"/>
    <w:rsid w:val="0053400B"/>
    <w:rsid w:val="00534192"/>
    <w:rsid w:val="0053424B"/>
    <w:rsid w:val="00534A5A"/>
    <w:rsid w:val="00536C49"/>
    <w:rsid w:val="005375BF"/>
    <w:rsid w:val="00537A5B"/>
    <w:rsid w:val="00537C2D"/>
    <w:rsid w:val="00540038"/>
    <w:rsid w:val="005403A1"/>
    <w:rsid w:val="00540EB7"/>
    <w:rsid w:val="005414D3"/>
    <w:rsid w:val="00541582"/>
    <w:rsid w:val="00542BCF"/>
    <w:rsid w:val="00543A3E"/>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6295"/>
    <w:rsid w:val="00556FDC"/>
    <w:rsid w:val="00561D38"/>
    <w:rsid w:val="00561FCB"/>
    <w:rsid w:val="00562831"/>
    <w:rsid w:val="00562921"/>
    <w:rsid w:val="0056379B"/>
    <w:rsid w:val="0056405B"/>
    <w:rsid w:val="005658D1"/>
    <w:rsid w:val="00565A15"/>
    <w:rsid w:val="0056759B"/>
    <w:rsid w:val="00567C14"/>
    <w:rsid w:val="00567C4E"/>
    <w:rsid w:val="005704F9"/>
    <w:rsid w:val="005709BA"/>
    <w:rsid w:val="00570BDC"/>
    <w:rsid w:val="00571115"/>
    <w:rsid w:val="005719AB"/>
    <w:rsid w:val="00571F0F"/>
    <w:rsid w:val="00572941"/>
    <w:rsid w:val="00573257"/>
    <w:rsid w:val="00573B77"/>
    <w:rsid w:val="00575FBE"/>
    <w:rsid w:val="00576129"/>
    <w:rsid w:val="00576A2D"/>
    <w:rsid w:val="005770F1"/>
    <w:rsid w:val="005771B7"/>
    <w:rsid w:val="00577332"/>
    <w:rsid w:val="00577551"/>
    <w:rsid w:val="00577A02"/>
    <w:rsid w:val="00577C6D"/>
    <w:rsid w:val="00580918"/>
    <w:rsid w:val="00580AFC"/>
    <w:rsid w:val="00580E92"/>
    <w:rsid w:val="005817F8"/>
    <w:rsid w:val="005836EC"/>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3EA"/>
    <w:rsid w:val="005944F6"/>
    <w:rsid w:val="005945B2"/>
    <w:rsid w:val="00594CB1"/>
    <w:rsid w:val="00594F62"/>
    <w:rsid w:val="00595C9E"/>
    <w:rsid w:val="0059625D"/>
    <w:rsid w:val="00597E25"/>
    <w:rsid w:val="005A0560"/>
    <w:rsid w:val="005A0C3D"/>
    <w:rsid w:val="005A14F6"/>
    <w:rsid w:val="005A16E2"/>
    <w:rsid w:val="005A2350"/>
    <w:rsid w:val="005A2C00"/>
    <w:rsid w:val="005A3244"/>
    <w:rsid w:val="005A41CE"/>
    <w:rsid w:val="005A4961"/>
    <w:rsid w:val="005A5215"/>
    <w:rsid w:val="005A52DF"/>
    <w:rsid w:val="005A52FB"/>
    <w:rsid w:val="005A56CE"/>
    <w:rsid w:val="005A5895"/>
    <w:rsid w:val="005A5EC0"/>
    <w:rsid w:val="005A60D4"/>
    <w:rsid w:val="005A623E"/>
    <w:rsid w:val="005A7647"/>
    <w:rsid w:val="005A7C45"/>
    <w:rsid w:val="005B1577"/>
    <w:rsid w:val="005B173E"/>
    <w:rsid w:val="005B1F50"/>
    <w:rsid w:val="005B44C2"/>
    <w:rsid w:val="005B4F95"/>
    <w:rsid w:val="005B507A"/>
    <w:rsid w:val="005B55FB"/>
    <w:rsid w:val="005B5663"/>
    <w:rsid w:val="005B5877"/>
    <w:rsid w:val="005B5BB0"/>
    <w:rsid w:val="005B5F6F"/>
    <w:rsid w:val="005B65F0"/>
    <w:rsid w:val="005B6D45"/>
    <w:rsid w:val="005B6FB7"/>
    <w:rsid w:val="005B7057"/>
    <w:rsid w:val="005B72DE"/>
    <w:rsid w:val="005B7ED7"/>
    <w:rsid w:val="005B7F46"/>
    <w:rsid w:val="005C03D5"/>
    <w:rsid w:val="005C06A3"/>
    <w:rsid w:val="005C0736"/>
    <w:rsid w:val="005C07AA"/>
    <w:rsid w:val="005C07FC"/>
    <w:rsid w:val="005C0B0B"/>
    <w:rsid w:val="005C2980"/>
    <w:rsid w:val="005C4406"/>
    <w:rsid w:val="005C4526"/>
    <w:rsid w:val="005C55C6"/>
    <w:rsid w:val="005C58B2"/>
    <w:rsid w:val="005C5BD0"/>
    <w:rsid w:val="005C684D"/>
    <w:rsid w:val="005C6B71"/>
    <w:rsid w:val="005C6C09"/>
    <w:rsid w:val="005C7014"/>
    <w:rsid w:val="005C702E"/>
    <w:rsid w:val="005D0356"/>
    <w:rsid w:val="005D0475"/>
    <w:rsid w:val="005D052F"/>
    <w:rsid w:val="005D0C1B"/>
    <w:rsid w:val="005D259E"/>
    <w:rsid w:val="005D2D64"/>
    <w:rsid w:val="005D2FA9"/>
    <w:rsid w:val="005D3606"/>
    <w:rsid w:val="005D36FF"/>
    <w:rsid w:val="005D383A"/>
    <w:rsid w:val="005D395C"/>
    <w:rsid w:val="005D3B35"/>
    <w:rsid w:val="005D3D7E"/>
    <w:rsid w:val="005D5642"/>
    <w:rsid w:val="005D57A6"/>
    <w:rsid w:val="005D5D6B"/>
    <w:rsid w:val="005D5F14"/>
    <w:rsid w:val="005D6786"/>
    <w:rsid w:val="005D692E"/>
    <w:rsid w:val="005D7D1B"/>
    <w:rsid w:val="005E07E6"/>
    <w:rsid w:val="005E09D2"/>
    <w:rsid w:val="005E0C5B"/>
    <w:rsid w:val="005E0CE5"/>
    <w:rsid w:val="005E133F"/>
    <w:rsid w:val="005E164C"/>
    <w:rsid w:val="005E2BC7"/>
    <w:rsid w:val="005E2E21"/>
    <w:rsid w:val="005E2E89"/>
    <w:rsid w:val="005E3A19"/>
    <w:rsid w:val="005E3C2A"/>
    <w:rsid w:val="005E4831"/>
    <w:rsid w:val="005E48CF"/>
    <w:rsid w:val="005E4D3E"/>
    <w:rsid w:val="005E5042"/>
    <w:rsid w:val="005E5AA3"/>
    <w:rsid w:val="005E5DDE"/>
    <w:rsid w:val="005E6AF7"/>
    <w:rsid w:val="005E738E"/>
    <w:rsid w:val="005E7F21"/>
    <w:rsid w:val="005E7FD4"/>
    <w:rsid w:val="005F031E"/>
    <w:rsid w:val="005F0605"/>
    <w:rsid w:val="005F07A2"/>
    <w:rsid w:val="005F0B06"/>
    <w:rsid w:val="005F0F6D"/>
    <w:rsid w:val="005F1491"/>
    <w:rsid w:val="005F19E0"/>
    <w:rsid w:val="005F4360"/>
    <w:rsid w:val="005F49D8"/>
    <w:rsid w:val="005F56F9"/>
    <w:rsid w:val="005F5791"/>
    <w:rsid w:val="005F5C13"/>
    <w:rsid w:val="005F671D"/>
    <w:rsid w:val="005F7B8B"/>
    <w:rsid w:val="00600DD8"/>
    <w:rsid w:val="00602934"/>
    <w:rsid w:val="00602DB8"/>
    <w:rsid w:val="006036D6"/>
    <w:rsid w:val="006045EE"/>
    <w:rsid w:val="00604775"/>
    <w:rsid w:val="00604A30"/>
    <w:rsid w:val="00604A61"/>
    <w:rsid w:val="00604ABC"/>
    <w:rsid w:val="00604E39"/>
    <w:rsid w:val="006058F7"/>
    <w:rsid w:val="00605F4A"/>
    <w:rsid w:val="00607A79"/>
    <w:rsid w:val="00607D4B"/>
    <w:rsid w:val="006102B3"/>
    <w:rsid w:val="00610584"/>
    <w:rsid w:val="00610D8F"/>
    <w:rsid w:val="0061119F"/>
    <w:rsid w:val="00611687"/>
    <w:rsid w:val="00611A31"/>
    <w:rsid w:val="006131FD"/>
    <w:rsid w:val="006134E2"/>
    <w:rsid w:val="00614435"/>
    <w:rsid w:val="006148F5"/>
    <w:rsid w:val="00615522"/>
    <w:rsid w:val="006155F4"/>
    <w:rsid w:val="00615D61"/>
    <w:rsid w:val="006166EB"/>
    <w:rsid w:val="00616A58"/>
    <w:rsid w:val="006170A7"/>
    <w:rsid w:val="006172F5"/>
    <w:rsid w:val="006174FE"/>
    <w:rsid w:val="006201FE"/>
    <w:rsid w:val="006207A4"/>
    <w:rsid w:val="00620DE6"/>
    <w:rsid w:val="006211FC"/>
    <w:rsid w:val="00621C3B"/>
    <w:rsid w:val="00621DF5"/>
    <w:rsid w:val="0062283F"/>
    <w:rsid w:val="00622850"/>
    <w:rsid w:val="00623E25"/>
    <w:rsid w:val="0062528D"/>
    <w:rsid w:val="00625A6F"/>
    <w:rsid w:val="00625ACD"/>
    <w:rsid w:val="00625F61"/>
    <w:rsid w:val="006262A3"/>
    <w:rsid w:val="00626BD6"/>
    <w:rsid w:val="00626E0C"/>
    <w:rsid w:val="006270CB"/>
    <w:rsid w:val="006274F0"/>
    <w:rsid w:val="00627C38"/>
    <w:rsid w:val="00631313"/>
    <w:rsid w:val="006314B7"/>
    <w:rsid w:val="0063228A"/>
    <w:rsid w:val="00632397"/>
    <w:rsid w:val="0063378F"/>
    <w:rsid w:val="00633B15"/>
    <w:rsid w:val="00633BDE"/>
    <w:rsid w:val="006340CF"/>
    <w:rsid w:val="006348EC"/>
    <w:rsid w:val="00634AA8"/>
    <w:rsid w:val="00634AE8"/>
    <w:rsid w:val="00635591"/>
    <w:rsid w:val="006359AE"/>
    <w:rsid w:val="00635C72"/>
    <w:rsid w:val="006369BB"/>
    <w:rsid w:val="00637F85"/>
    <w:rsid w:val="00640A8F"/>
    <w:rsid w:val="00640AA1"/>
    <w:rsid w:val="00641240"/>
    <w:rsid w:val="0064201D"/>
    <w:rsid w:val="0064334E"/>
    <w:rsid w:val="006436C6"/>
    <w:rsid w:val="00644355"/>
    <w:rsid w:val="006446D3"/>
    <w:rsid w:val="00644B3E"/>
    <w:rsid w:val="00644BAF"/>
    <w:rsid w:val="00644D5A"/>
    <w:rsid w:val="0064525C"/>
    <w:rsid w:val="00645526"/>
    <w:rsid w:val="006461EB"/>
    <w:rsid w:val="00647AF3"/>
    <w:rsid w:val="0065094D"/>
    <w:rsid w:val="00650F0D"/>
    <w:rsid w:val="00651187"/>
    <w:rsid w:val="0065231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4775"/>
    <w:rsid w:val="00665780"/>
    <w:rsid w:val="00665AFB"/>
    <w:rsid w:val="00665E0C"/>
    <w:rsid w:val="00665F37"/>
    <w:rsid w:val="00666739"/>
    <w:rsid w:val="00667309"/>
    <w:rsid w:val="00667CE5"/>
    <w:rsid w:val="006702D2"/>
    <w:rsid w:val="00670356"/>
    <w:rsid w:val="006705C0"/>
    <w:rsid w:val="00670DD9"/>
    <w:rsid w:val="00670DE7"/>
    <w:rsid w:val="00671511"/>
    <w:rsid w:val="00671DEA"/>
    <w:rsid w:val="006729F1"/>
    <w:rsid w:val="00673C74"/>
    <w:rsid w:val="00674888"/>
    <w:rsid w:val="00674C65"/>
    <w:rsid w:val="00674E0C"/>
    <w:rsid w:val="00674E28"/>
    <w:rsid w:val="00675698"/>
    <w:rsid w:val="00676BFC"/>
    <w:rsid w:val="00677CF5"/>
    <w:rsid w:val="00677D5E"/>
    <w:rsid w:val="006803A1"/>
    <w:rsid w:val="0068196E"/>
    <w:rsid w:val="00681A95"/>
    <w:rsid w:val="0068233D"/>
    <w:rsid w:val="00682E7B"/>
    <w:rsid w:val="006838E0"/>
    <w:rsid w:val="0068408A"/>
    <w:rsid w:val="0068433F"/>
    <w:rsid w:val="00684965"/>
    <w:rsid w:val="00684C9B"/>
    <w:rsid w:val="006852EB"/>
    <w:rsid w:val="0068574A"/>
    <w:rsid w:val="006859E7"/>
    <w:rsid w:val="00686617"/>
    <w:rsid w:val="0069062A"/>
    <w:rsid w:val="00690963"/>
    <w:rsid w:val="00690CE1"/>
    <w:rsid w:val="0069119D"/>
    <w:rsid w:val="006913BF"/>
    <w:rsid w:val="00691C01"/>
    <w:rsid w:val="00692025"/>
    <w:rsid w:val="00692C84"/>
    <w:rsid w:val="00692FE0"/>
    <w:rsid w:val="00694025"/>
    <w:rsid w:val="006946A6"/>
    <w:rsid w:val="00694AA7"/>
    <w:rsid w:val="006954A3"/>
    <w:rsid w:val="006958D4"/>
    <w:rsid w:val="006A0025"/>
    <w:rsid w:val="006A0712"/>
    <w:rsid w:val="006A0CFB"/>
    <w:rsid w:val="006A13CB"/>
    <w:rsid w:val="006A18E1"/>
    <w:rsid w:val="006A2440"/>
    <w:rsid w:val="006A4AA6"/>
    <w:rsid w:val="006A5228"/>
    <w:rsid w:val="006A5911"/>
    <w:rsid w:val="006B0CDC"/>
    <w:rsid w:val="006B1AF0"/>
    <w:rsid w:val="006B3CA7"/>
    <w:rsid w:val="006B4660"/>
    <w:rsid w:val="006B4C5D"/>
    <w:rsid w:val="006B5134"/>
    <w:rsid w:val="006B53EE"/>
    <w:rsid w:val="006B6614"/>
    <w:rsid w:val="006B72B7"/>
    <w:rsid w:val="006B7B28"/>
    <w:rsid w:val="006B7BA3"/>
    <w:rsid w:val="006B7C13"/>
    <w:rsid w:val="006C0665"/>
    <w:rsid w:val="006C139F"/>
    <w:rsid w:val="006C1A55"/>
    <w:rsid w:val="006C2831"/>
    <w:rsid w:val="006C3038"/>
    <w:rsid w:val="006C388E"/>
    <w:rsid w:val="006C5C5A"/>
    <w:rsid w:val="006C5DC4"/>
    <w:rsid w:val="006C5DCC"/>
    <w:rsid w:val="006C7F45"/>
    <w:rsid w:val="006D0058"/>
    <w:rsid w:val="006D054C"/>
    <w:rsid w:val="006D3274"/>
    <w:rsid w:val="006D3584"/>
    <w:rsid w:val="006D420D"/>
    <w:rsid w:val="006D4AD1"/>
    <w:rsid w:val="006D5082"/>
    <w:rsid w:val="006D50C3"/>
    <w:rsid w:val="006D5931"/>
    <w:rsid w:val="006D5F8A"/>
    <w:rsid w:val="006D666E"/>
    <w:rsid w:val="006D7915"/>
    <w:rsid w:val="006E07C2"/>
    <w:rsid w:val="006E0D45"/>
    <w:rsid w:val="006E1BF5"/>
    <w:rsid w:val="006E277F"/>
    <w:rsid w:val="006E3A46"/>
    <w:rsid w:val="006E3B11"/>
    <w:rsid w:val="006E3B48"/>
    <w:rsid w:val="006E4BF0"/>
    <w:rsid w:val="006E4D95"/>
    <w:rsid w:val="006E4EFD"/>
    <w:rsid w:val="006E6464"/>
    <w:rsid w:val="006E658E"/>
    <w:rsid w:val="006F038E"/>
    <w:rsid w:val="006F09C1"/>
    <w:rsid w:val="006F0DB9"/>
    <w:rsid w:val="006F1725"/>
    <w:rsid w:val="006F1DD5"/>
    <w:rsid w:val="006F2539"/>
    <w:rsid w:val="006F374A"/>
    <w:rsid w:val="006F3A8C"/>
    <w:rsid w:val="006F3AB3"/>
    <w:rsid w:val="006F3D5F"/>
    <w:rsid w:val="006F4328"/>
    <w:rsid w:val="006F5531"/>
    <w:rsid w:val="006F5D02"/>
    <w:rsid w:val="006F5D8A"/>
    <w:rsid w:val="006F6622"/>
    <w:rsid w:val="006F7443"/>
    <w:rsid w:val="0070004E"/>
    <w:rsid w:val="00700C56"/>
    <w:rsid w:val="00701AE6"/>
    <w:rsid w:val="00701E9E"/>
    <w:rsid w:val="007024E9"/>
    <w:rsid w:val="007036F3"/>
    <w:rsid w:val="00703DB6"/>
    <w:rsid w:val="00703E93"/>
    <w:rsid w:val="00704247"/>
    <w:rsid w:val="00704ACE"/>
    <w:rsid w:val="00704AEB"/>
    <w:rsid w:val="0070563C"/>
    <w:rsid w:val="00707076"/>
    <w:rsid w:val="007077E8"/>
    <w:rsid w:val="00710D38"/>
    <w:rsid w:val="007111AF"/>
    <w:rsid w:val="00711E6B"/>
    <w:rsid w:val="007127D2"/>
    <w:rsid w:val="00712E68"/>
    <w:rsid w:val="00713039"/>
    <w:rsid w:val="007136C0"/>
    <w:rsid w:val="00713A18"/>
    <w:rsid w:val="00713D99"/>
    <w:rsid w:val="0071436E"/>
    <w:rsid w:val="007146A3"/>
    <w:rsid w:val="007161BA"/>
    <w:rsid w:val="00716E6A"/>
    <w:rsid w:val="00716ECD"/>
    <w:rsid w:val="0071718D"/>
    <w:rsid w:val="007175BA"/>
    <w:rsid w:val="00717FBB"/>
    <w:rsid w:val="007217C2"/>
    <w:rsid w:val="00721DE7"/>
    <w:rsid w:val="00722449"/>
    <w:rsid w:val="00722549"/>
    <w:rsid w:val="0072295C"/>
    <w:rsid w:val="007239B0"/>
    <w:rsid w:val="00724367"/>
    <w:rsid w:val="007243EB"/>
    <w:rsid w:val="007244AA"/>
    <w:rsid w:val="0072502D"/>
    <w:rsid w:val="00725FB0"/>
    <w:rsid w:val="00726CAB"/>
    <w:rsid w:val="0072756F"/>
    <w:rsid w:val="00727E27"/>
    <w:rsid w:val="007304C4"/>
    <w:rsid w:val="0073092D"/>
    <w:rsid w:val="00730C14"/>
    <w:rsid w:val="00731081"/>
    <w:rsid w:val="00732036"/>
    <w:rsid w:val="007325A3"/>
    <w:rsid w:val="00734315"/>
    <w:rsid w:val="00734CC4"/>
    <w:rsid w:val="00736810"/>
    <w:rsid w:val="00736878"/>
    <w:rsid w:val="00737CFA"/>
    <w:rsid w:val="007402A2"/>
    <w:rsid w:val="00741FBB"/>
    <w:rsid w:val="00742146"/>
    <w:rsid w:val="00742527"/>
    <w:rsid w:val="00742D55"/>
    <w:rsid w:val="0074339E"/>
    <w:rsid w:val="0074463A"/>
    <w:rsid w:val="00744F40"/>
    <w:rsid w:val="007451EF"/>
    <w:rsid w:val="007457E1"/>
    <w:rsid w:val="00745D9A"/>
    <w:rsid w:val="00746333"/>
    <w:rsid w:val="00746D13"/>
    <w:rsid w:val="00746F5D"/>
    <w:rsid w:val="00751538"/>
    <w:rsid w:val="00751B1F"/>
    <w:rsid w:val="0075206A"/>
    <w:rsid w:val="00752843"/>
    <w:rsid w:val="00753764"/>
    <w:rsid w:val="007538F0"/>
    <w:rsid w:val="007541B9"/>
    <w:rsid w:val="00754477"/>
    <w:rsid w:val="00754B41"/>
    <w:rsid w:val="00754D02"/>
    <w:rsid w:val="007550DD"/>
    <w:rsid w:val="007577B7"/>
    <w:rsid w:val="00757D69"/>
    <w:rsid w:val="007607CC"/>
    <w:rsid w:val="00761076"/>
    <w:rsid w:val="007625C2"/>
    <w:rsid w:val="0076290F"/>
    <w:rsid w:val="00764664"/>
    <w:rsid w:val="007651A7"/>
    <w:rsid w:val="0076542F"/>
    <w:rsid w:val="00766229"/>
    <w:rsid w:val="00767E0D"/>
    <w:rsid w:val="007700AC"/>
    <w:rsid w:val="0077024B"/>
    <w:rsid w:val="00770343"/>
    <w:rsid w:val="007739DE"/>
    <w:rsid w:val="00773A83"/>
    <w:rsid w:val="00773B4B"/>
    <w:rsid w:val="00773DDE"/>
    <w:rsid w:val="00774C63"/>
    <w:rsid w:val="00774CA1"/>
    <w:rsid w:val="00775F74"/>
    <w:rsid w:val="00776329"/>
    <w:rsid w:val="00777DFF"/>
    <w:rsid w:val="00781809"/>
    <w:rsid w:val="00781926"/>
    <w:rsid w:val="007832F9"/>
    <w:rsid w:val="00784574"/>
    <w:rsid w:val="00784B1C"/>
    <w:rsid w:val="0078534A"/>
    <w:rsid w:val="00786C83"/>
    <w:rsid w:val="007877DD"/>
    <w:rsid w:val="0078790A"/>
    <w:rsid w:val="00787E8C"/>
    <w:rsid w:val="00790D4D"/>
    <w:rsid w:val="0079157B"/>
    <w:rsid w:val="0079271D"/>
    <w:rsid w:val="00792922"/>
    <w:rsid w:val="0079441D"/>
    <w:rsid w:val="007949B0"/>
    <w:rsid w:val="00794B45"/>
    <w:rsid w:val="00794BA2"/>
    <w:rsid w:val="00795F2A"/>
    <w:rsid w:val="007A0344"/>
    <w:rsid w:val="007A09FE"/>
    <w:rsid w:val="007A0BD1"/>
    <w:rsid w:val="007A17E8"/>
    <w:rsid w:val="007A255D"/>
    <w:rsid w:val="007A2FFB"/>
    <w:rsid w:val="007A3EA9"/>
    <w:rsid w:val="007A4ACF"/>
    <w:rsid w:val="007A4C12"/>
    <w:rsid w:val="007A6A1A"/>
    <w:rsid w:val="007A6EE8"/>
    <w:rsid w:val="007A7354"/>
    <w:rsid w:val="007A7A63"/>
    <w:rsid w:val="007B007B"/>
    <w:rsid w:val="007B0F1A"/>
    <w:rsid w:val="007B151A"/>
    <w:rsid w:val="007B194C"/>
    <w:rsid w:val="007B1986"/>
    <w:rsid w:val="007B238A"/>
    <w:rsid w:val="007B25B8"/>
    <w:rsid w:val="007B31F2"/>
    <w:rsid w:val="007B33AE"/>
    <w:rsid w:val="007B3FE7"/>
    <w:rsid w:val="007B42A8"/>
    <w:rsid w:val="007B4714"/>
    <w:rsid w:val="007B57D3"/>
    <w:rsid w:val="007B6820"/>
    <w:rsid w:val="007B716D"/>
    <w:rsid w:val="007B7315"/>
    <w:rsid w:val="007C0007"/>
    <w:rsid w:val="007C007C"/>
    <w:rsid w:val="007C0EAC"/>
    <w:rsid w:val="007C1635"/>
    <w:rsid w:val="007C223D"/>
    <w:rsid w:val="007C396F"/>
    <w:rsid w:val="007C4BC1"/>
    <w:rsid w:val="007C4E60"/>
    <w:rsid w:val="007C51C0"/>
    <w:rsid w:val="007C6B38"/>
    <w:rsid w:val="007C6DB2"/>
    <w:rsid w:val="007C74F6"/>
    <w:rsid w:val="007C7634"/>
    <w:rsid w:val="007C797E"/>
    <w:rsid w:val="007C79B5"/>
    <w:rsid w:val="007D0392"/>
    <w:rsid w:val="007D078B"/>
    <w:rsid w:val="007D0A1F"/>
    <w:rsid w:val="007D112C"/>
    <w:rsid w:val="007D1A18"/>
    <w:rsid w:val="007D1E50"/>
    <w:rsid w:val="007D1E76"/>
    <w:rsid w:val="007D29CA"/>
    <w:rsid w:val="007D2CB3"/>
    <w:rsid w:val="007D3108"/>
    <w:rsid w:val="007D41DC"/>
    <w:rsid w:val="007D4B26"/>
    <w:rsid w:val="007D4CFA"/>
    <w:rsid w:val="007D4E66"/>
    <w:rsid w:val="007D592A"/>
    <w:rsid w:val="007D6246"/>
    <w:rsid w:val="007D66CF"/>
    <w:rsid w:val="007D6BE1"/>
    <w:rsid w:val="007D6C2B"/>
    <w:rsid w:val="007D7A15"/>
    <w:rsid w:val="007E02F9"/>
    <w:rsid w:val="007E0390"/>
    <w:rsid w:val="007E08D4"/>
    <w:rsid w:val="007E104E"/>
    <w:rsid w:val="007E1C36"/>
    <w:rsid w:val="007E1F5A"/>
    <w:rsid w:val="007E2044"/>
    <w:rsid w:val="007E3284"/>
    <w:rsid w:val="007E394B"/>
    <w:rsid w:val="007E3F4A"/>
    <w:rsid w:val="007E432D"/>
    <w:rsid w:val="007E45FF"/>
    <w:rsid w:val="007E6658"/>
    <w:rsid w:val="007E7CEE"/>
    <w:rsid w:val="007F132E"/>
    <w:rsid w:val="007F15D0"/>
    <w:rsid w:val="007F223E"/>
    <w:rsid w:val="007F2D05"/>
    <w:rsid w:val="007F3073"/>
    <w:rsid w:val="007F3226"/>
    <w:rsid w:val="007F4293"/>
    <w:rsid w:val="007F4584"/>
    <w:rsid w:val="007F4735"/>
    <w:rsid w:val="007F54A4"/>
    <w:rsid w:val="007F56B5"/>
    <w:rsid w:val="007F6276"/>
    <w:rsid w:val="007F640B"/>
    <w:rsid w:val="008012B0"/>
    <w:rsid w:val="00801A00"/>
    <w:rsid w:val="00801E04"/>
    <w:rsid w:val="008024A3"/>
    <w:rsid w:val="008024DD"/>
    <w:rsid w:val="0080415A"/>
    <w:rsid w:val="008043FC"/>
    <w:rsid w:val="00805598"/>
    <w:rsid w:val="008069C1"/>
    <w:rsid w:val="008070FB"/>
    <w:rsid w:val="00807292"/>
    <w:rsid w:val="00807579"/>
    <w:rsid w:val="00807A7F"/>
    <w:rsid w:val="00811188"/>
    <w:rsid w:val="0081157B"/>
    <w:rsid w:val="00811B2D"/>
    <w:rsid w:val="00812CFB"/>
    <w:rsid w:val="00813442"/>
    <w:rsid w:val="00814591"/>
    <w:rsid w:val="008155B3"/>
    <w:rsid w:val="008160B6"/>
    <w:rsid w:val="0081696E"/>
    <w:rsid w:val="00816AAF"/>
    <w:rsid w:val="00816E86"/>
    <w:rsid w:val="00820CD0"/>
    <w:rsid w:val="00820F70"/>
    <w:rsid w:val="00821DD5"/>
    <w:rsid w:val="008223B8"/>
    <w:rsid w:val="008228E3"/>
    <w:rsid w:val="00822AE5"/>
    <w:rsid w:val="008230FD"/>
    <w:rsid w:val="00823588"/>
    <w:rsid w:val="00825174"/>
    <w:rsid w:val="00825699"/>
    <w:rsid w:val="00826644"/>
    <w:rsid w:val="00826975"/>
    <w:rsid w:val="00826C12"/>
    <w:rsid w:val="00826F00"/>
    <w:rsid w:val="00827C8E"/>
    <w:rsid w:val="00830154"/>
    <w:rsid w:val="00831678"/>
    <w:rsid w:val="00832017"/>
    <w:rsid w:val="0083279C"/>
    <w:rsid w:val="00832DC2"/>
    <w:rsid w:val="00833240"/>
    <w:rsid w:val="00833245"/>
    <w:rsid w:val="00833A50"/>
    <w:rsid w:val="00833E48"/>
    <w:rsid w:val="00834E8A"/>
    <w:rsid w:val="0084073E"/>
    <w:rsid w:val="008408FE"/>
    <w:rsid w:val="00841640"/>
    <w:rsid w:val="00841992"/>
    <w:rsid w:val="00841D8B"/>
    <w:rsid w:val="008420E8"/>
    <w:rsid w:val="00842BD3"/>
    <w:rsid w:val="008432D6"/>
    <w:rsid w:val="008439A4"/>
    <w:rsid w:val="00843DE8"/>
    <w:rsid w:val="00843E90"/>
    <w:rsid w:val="00843F12"/>
    <w:rsid w:val="00844071"/>
    <w:rsid w:val="00844415"/>
    <w:rsid w:val="00844A63"/>
    <w:rsid w:val="00844DD8"/>
    <w:rsid w:val="00845525"/>
    <w:rsid w:val="00845962"/>
    <w:rsid w:val="008463B5"/>
    <w:rsid w:val="00850817"/>
    <w:rsid w:val="00851D99"/>
    <w:rsid w:val="00852103"/>
    <w:rsid w:val="008550A1"/>
    <w:rsid w:val="008550FA"/>
    <w:rsid w:val="00855229"/>
    <w:rsid w:val="00855297"/>
    <w:rsid w:val="00855711"/>
    <w:rsid w:val="00855A1B"/>
    <w:rsid w:val="00856230"/>
    <w:rsid w:val="00856A22"/>
    <w:rsid w:val="00856E94"/>
    <w:rsid w:val="00857356"/>
    <w:rsid w:val="00857385"/>
    <w:rsid w:val="008574E1"/>
    <w:rsid w:val="00857976"/>
    <w:rsid w:val="00857A50"/>
    <w:rsid w:val="00857A57"/>
    <w:rsid w:val="00857B2D"/>
    <w:rsid w:val="00860814"/>
    <w:rsid w:val="00860A4C"/>
    <w:rsid w:val="00860DEA"/>
    <w:rsid w:val="00861D5B"/>
    <w:rsid w:val="00861EBD"/>
    <w:rsid w:val="008620A2"/>
    <w:rsid w:val="008620A8"/>
    <w:rsid w:val="0086222A"/>
    <w:rsid w:val="00862CF7"/>
    <w:rsid w:val="00863558"/>
    <w:rsid w:val="00863708"/>
    <w:rsid w:val="00863719"/>
    <w:rsid w:val="008638EA"/>
    <w:rsid w:val="00864422"/>
    <w:rsid w:val="008651C9"/>
    <w:rsid w:val="008657B3"/>
    <w:rsid w:val="008663DE"/>
    <w:rsid w:val="008669A0"/>
    <w:rsid w:val="008679A0"/>
    <w:rsid w:val="00867D02"/>
    <w:rsid w:val="00867D14"/>
    <w:rsid w:val="00867E64"/>
    <w:rsid w:val="0087072D"/>
    <w:rsid w:val="00871B88"/>
    <w:rsid w:val="00872824"/>
    <w:rsid w:val="00873BBF"/>
    <w:rsid w:val="00873F67"/>
    <w:rsid w:val="00874705"/>
    <w:rsid w:val="0087665C"/>
    <w:rsid w:val="00877189"/>
    <w:rsid w:val="00877258"/>
    <w:rsid w:val="008816F2"/>
    <w:rsid w:val="008817A9"/>
    <w:rsid w:val="00881E6C"/>
    <w:rsid w:val="0088277C"/>
    <w:rsid w:val="00885F52"/>
    <w:rsid w:val="00887235"/>
    <w:rsid w:val="008874EE"/>
    <w:rsid w:val="00887903"/>
    <w:rsid w:val="00890813"/>
    <w:rsid w:val="008916DD"/>
    <w:rsid w:val="008918AF"/>
    <w:rsid w:val="00892E83"/>
    <w:rsid w:val="00893EB8"/>
    <w:rsid w:val="00894A9B"/>
    <w:rsid w:val="00894B17"/>
    <w:rsid w:val="00895F70"/>
    <w:rsid w:val="00896241"/>
    <w:rsid w:val="0089648C"/>
    <w:rsid w:val="008969DA"/>
    <w:rsid w:val="00896E0F"/>
    <w:rsid w:val="0089734D"/>
    <w:rsid w:val="00897534"/>
    <w:rsid w:val="00897BFD"/>
    <w:rsid w:val="008A0666"/>
    <w:rsid w:val="008A18C7"/>
    <w:rsid w:val="008A1931"/>
    <w:rsid w:val="008A21CB"/>
    <w:rsid w:val="008A227A"/>
    <w:rsid w:val="008A367F"/>
    <w:rsid w:val="008A397D"/>
    <w:rsid w:val="008A3B46"/>
    <w:rsid w:val="008A3D9A"/>
    <w:rsid w:val="008A4A6E"/>
    <w:rsid w:val="008A4A72"/>
    <w:rsid w:val="008A51B1"/>
    <w:rsid w:val="008A5522"/>
    <w:rsid w:val="008A566B"/>
    <w:rsid w:val="008A5E1A"/>
    <w:rsid w:val="008A5FA1"/>
    <w:rsid w:val="008A6BFE"/>
    <w:rsid w:val="008A751B"/>
    <w:rsid w:val="008A763D"/>
    <w:rsid w:val="008A77C2"/>
    <w:rsid w:val="008A7C96"/>
    <w:rsid w:val="008B1987"/>
    <w:rsid w:val="008B2297"/>
    <w:rsid w:val="008B23B4"/>
    <w:rsid w:val="008B23ED"/>
    <w:rsid w:val="008B361A"/>
    <w:rsid w:val="008B38F6"/>
    <w:rsid w:val="008B3E22"/>
    <w:rsid w:val="008B454F"/>
    <w:rsid w:val="008B53FF"/>
    <w:rsid w:val="008B5CB6"/>
    <w:rsid w:val="008B6C0A"/>
    <w:rsid w:val="008B6E72"/>
    <w:rsid w:val="008B7676"/>
    <w:rsid w:val="008B799D"/>
    <w:rsid w:val="008B7D69"/>
    <w:rsid w:val="008C18C1"/>
    <w:rsid w:val="008C190E"/>
    <w:rsid w:val="008C2205"/>
    <w:rsid w:val="008C243D"/>
    <w:rsid w:val="008C2BE7"/>
    <w:rsid w:val="008C321B"/>
    <w:rsid w:val="008C3905"/>
    <w:rsid w:val="008C4790"/>
    <w:rsid w:val="008C4806"/>
    <w:rsid w:val="008C4B67"/>
    <w:rsid w:val="008C5715"/>
    <w:rsid w:val="008C5E5D"/>
    <w:rsid w:val="008C5F21"/>
    <w:rsid w:val="008C6AE1"/>
    <w:rsid w:val="008C78FF"/>
    <w:rsid w:val="008C7B08"/>
    <w:rsid w:val="008C7B5B"/>
    <w:rsid w:val="008C7B70"/>
    <w:rsid w:val="008D146E"/>
    <w:rsid w:val="008D16A5"/>
    <w:rsid w:val="008D17C1"/>
    <w:rsid w:val="008D2620"/>
    <w:rsid w:val="008D324C"/>
    <w:rsid w:val="008D34BA"/>
    <w:rsid w:val="008D35F0"/>
    <w:rsid w:val="008D364B"/>
    <w:rsid w:val="008D4F28"/>
    <w:rsid w:val="008D55EB"/>
    <w:rsid w:val="008E0977"/>
    <w:rsid w:val="008E1120"/>
    <w:rsid w:val="008E1836"/>
    <w:rsid w:val="008E1988"/>
    <w:rsid w:val="008E1990"/>
    <w:rsid w:val="008E1B7A"/>
    <w:rsid w:val="008E1E36"/>
    <w:rsid w:val="008E277E"/>
    <w:rsid w:val="008E27B6"/>
    <w:rsid w:val="008E2B24"/>
    <w:rsid w:val="008E30C7"/>
    <w:rsid w:val="008E31EF"/>
    <w:rsid w:val="008E3A3B"/>
    <w:rsid w:val="008E4622"/>
    <w:rsid w:val="008E4E23"/>
    <w:rsid w:val="008E608B"/>
    <w:rsid w:val="008E64F2"/>
    <w:rsid w:val="008E66E7"/>
    <w:rsid w:val="008E66EE"/>
    <w:rsid w:val="008E7DA3"/>
    <w:rsid w:val="008F020C"/>
    <w:rsid w:val="008F0F1B"/>
    <w:rsid w:val="008F1112"/>
    <w:rsid w:val="008F2BED"/>
    <w:rsid w:val="008F3343"/>
    <w:rsid w:val="008F3C69"/>
    <w:rsid w:val="008F4A2E"/>
    <w:rsid w:val="008F4D51"/>
    <w:rsid w:val="008F5D9D"/>
    <w:rsid w:val="008F69F5"/>
    <w:rsid w:val="00900515"/>
    <w:rsid w:val="00900898"/>
    <w:rsid w:val="00900B71"/>
    <w:rsid w:val="00900D3D"/>
    <w:rsid w:val="0090128F"/>
    <w:rsid w:val="00901836"/>
    <w:rsid w:val="009023C6"/>
    <w:rsid w:val="00902DF2"/>
    <w:rsid w:val="00902F67"/>
    <w:rsid w:val="0090306D"/>
    <w:rsid w:val="009037E9"/>
    <w:rsid w:val="00903B54"/>
    <w:rsid w:val="0090427E"/>
    <w:rsid w:val="00904CA0"/>
    <w:rsid w:val="009055D7"/>
    <w:rsid w:val="00906A3B"/>
    <w:rsid w:val="00906E8E"/>
    <w:rsid w:val="0091123F"/>
    <w:rsid w:val="009124C6"/>
    <w:rsid w:val="00912867"/>
    <w:rsid w:val="0091345B"/>
    <w:rsid w:val="00914EE4"/>
    <w:rsid w:val="00915849"/>
    <w:rsid w:val="009159BD"/>
    <w:rsid w:val="00916504"/>
    <w:rsid w:val="00916B2B"/>
    <w:rsid w:val="0091703D"/>
    <w:rsid w:val="009172BB"/>
    <w:rsid w:val="009172E1"/>
    <w:rsid w:val="00921283"/>
    <w:rsid w:val="00921D43"/>
    <w:rsid w:val="009226EF"/>
    <w:rsid w:val="009235A9"/>
    <w:rsid w:val="00923F89"/>
    <w:rsid w:val="00924129"/>
    <w:rsid w:val="00924EF7"/>
    <w:rsid w:val="00924FB2"/>
    <w:rsid w:val="009252ED"/>
    <w:rsid w:val="00925545"/>
    <w:rsid w:val="00925D32"/>
    <w:rsid w:val="00925DC4"/>
    <w:rsid w:val="00925E22"/>
    <w:rsid w:val="009264FE"/>
    <w:rsid w:val="00931554"/>
    <w:rsid w:val="00931903"/>
    <w:rsid w:val="00932B46"/>
    <w:rsid w:val="00932BB6"/>
    <w:rsid w:val="0093451A"/>
    <w:rsid w:val="00935089"/>
    <w:rsid w:val="00935A36"/>
    <w:rsid w:val="00935BE5"/>
    <w:rsid w:val="00935F58"/>
    <w:rsid w:val="0093611B"/>
    <w:rsid w:val="009364BF"/>
    <w:rsid w:val="00936B6D"/>
    <w:rsid w:val="00936DB4"/>
    <w:rsid w:val="009375CD"/>
    <w:rsid w:val="009376EE"/>
    <w:rsid w:val="0094028D"/>
    <w:rsid w:val="00940580"/>
    <w:rsid w:val="00941B2F"/>
    <w:rsid w:val="00942A3E"/>
    <w:rsid w:val="00942EAE"/>
    <w:rsid w:val="009443F5"/>
    <w:rsid w:val="00944511"/>
    <w:rsid w:val="0094516B"/>
    <w:rsid w:val="00945599"/>
    <w:rsid w:val="00946E70"/>
    <w:rsid w:val="00946F67"/>
    <w:rsid w:val="00947B4B"/>
    <w:rsid w:val="00947D3C"/>
    <w:rsid w:val="0095081E"/>
    <w:rsid w:val="00950B5A"/>
    <w:rsid w:val="00951287"/>
    <w:rsid w:val="00951856"/>
    <w:rsid w:val="00951AB0"/>
    <w:rsid w:val="00951EB8"/>
    <w:rsid w:val="009524F9"/>
    <w:rsid w:val="00952F49"/>
    <w:rsid w:val="00952FDD"/>
    <w:rsid w:val="00953665"/>
    <w:rsid w:val="009549F9"/>
    <w:rsid w:val="00954A65"/>
    <w:rsid w:val="009556E5"/>
    <w:rsid w:val="00955CF0"/>
    <w:rsid w:val="00955EE8"/>
    <w:rsid w:val="009560DF"/>
    <w:rsid w:val="00957411"/>
    <w:rsid w:val="009577FC"/>
    <w:rsid w:val="009600FA"/>
    <w:rsid w:val="009604D1"/>
    <w:rsid w:val="009618E9"/>
    <w:rsid w:val="00961D2D"/>
    <w:rsid w:val="00962995"/>
    <w:rsid w:val="00962C33"/>
    <w:rsid w:val="009639BD"/>
    <w:rsid w:val="00963EE6"/>
    <w:rsid w:val="00964158"/>
    <w:rsid w:val="0096522A"/>
    <w:rsid w:val="0096531D"/>
    <w:rsid w:val="00966295"/>
    <w:rsid w:val="00966C94"/>
    <w:rsid w:val="009679F5"/>
    <w:rsid w:val="00970612"/>
    <w:rsid w:val="009707F1"/>
    <w:rsid w:val="00970D81"/>
    <w:rsid w:val="0097172A"/>
    <w:rsid w:val="00971B56"/>
    <w:rsid w:val="00971E7C"/>
    <w:rsid w:val="00971FAB"/>
    <w:rsid w:val="00972484"/>
    <w:rsid w:val="00972704"/>
    <w:rsid w:val="0097296A"/>
    <w:rsid w:val="009729B5"/>
    <w:rsid w:val="00973B30"/>
    <w:rsid w:val="009749E2"/>
    <w:rsid w:val="00976A87"/>
    <w:rsid w:val="00976B18"/>
    <w:rsid w:val="00977680"/>
    <w:rsid w:val="00977A59"/>
    <w:rsid w:val="00977F62"/>
    <w:rsid w:val="00981609"/>
    <w:rsid w:val="009829DB"/>
    <w:rsid w:val="00983269"/>
    <w:rsid w:val="0098333E"/>
    <w:rsid w:val="009852CE"/>
    <w:rsid w:val="00985AC7"/>
    <w:rsid w:val="00985F84"/>
    <w:rsid w:val="00986BC9"/>
    <w:rsid w:val="009870CC"/>
    <w:rsid w:val="00987920"/>
    <w:rsid w:val="00987950"/>
    <w:rsid w:val="0098795E"/>
    <w:rsid w:val="00990630"/>
    <w:rsid w:val="0099111B"/>
    <w:rsid w:val="00991619"/>
    <w:rsid w:val="009917F4"/>
    <w:rsid w:val="00991A5C"/>
    <w:rsid w:val="00991EC6"/>
    <w:rsid w:val="00992060"/>
    <w:rsid w:val="009921D2"/>
    <w:rsid w:val="00992ACD"/>
    <w:rsid w:val="0099310F"/>
    <w:rsid w:val="00993739"/>
    <w:rsid w:val="0099496A"/>
    <w:rsid w:val="009953C6"/>
    <w:rsid w:val="00996266"/>
    <w:rsid w:val="009962CA"/>
    <w:rsid w:val="009966D2"/>
    <w:rsid w:val="00997A9C"/>
    <w:rsid w:val="00997AC1"/>
    <w:rsid w:val="00997AC6"/>
    <w:rsid w:val="00997DD8"/>
    <w:rsid w:val="009A0D38"/>
    <w:rsid w:val="009A1398"/>
    <w:rsid w:val="009A19F7"/>
    <w:rsid w:val="009A318A"/>
    <w:rsid w:val="009A4991"/>
    <w:rsid w:val="009A4FB7"/>
    <w:rsid w:val="009A580E"/>
    <w:rsid w:val="009A5BEE"/>
    <w:rsid w:val="009A64D7"/>
    <w:rsid w:val="009A65F0"/>
    <w:rsid w:val="009A6FEE"/>
    <w:rsid w:val="009A7B95"/>
    <w:rsid w:val="009B0216"/>
    <w:rsid w:val="009B0A4F"/>
    <w:rsid w:val="009B0EEB"/>
    <w:rsid w:val="009B136B"/>
    <w:rsid w:val="009B151C"/>
    <w:rsid w:val="009B24CD"/>
    <w:rsid w:val="009B4405"/>
    <w:rsid w:val="009B4748"/>
    <w:rsid w:val="009B52F8"/>
    <w:rsid w:val="009B61D3"/>
    <w:rsid w:val="009B626B"/>
    <w:rsid w:val="009B7226"/>
    <w:rsid w:val="009B7FC2"/>
    <w:rsid w:val="009C01FA"/>
    <w:rsid w:val="009C0AD4"/>
    <w:rsid w:val="009C169D"/>
    <w:rsid w:val="009C1A82"/>
    <w:rsid w:val="009C22DF"/>
    <w:rsid w:val="009C2AED"/>
    <w:rsid w:val="009C4113"/>
    <w:rsid w:val="009C4A5B"/>
    <w:rsid w:val="009C4A66"/>
    <w:rsid w:val="009C5D0B"/>
    <w:rsid w:val="009C61F8"/>
    <w:rsid w:val="009C63EA"/>
    <w:rsid w:val="009C6F6C"/>
    <w:rsid w:val="009C71ED"/>
    <w:rsid w:val="009C7297"/>
    <w:rsid w:val="009C73D9"/>
    <w:rsid w:val="009D0A9A"/>
    <w:rsid w:val="009D16DC"/>
    <w:rsid w:val="009D2E28"/>
    <w:rsid w:val="009D334E"/>
    <w:rsid w:val="009D35E8"/>
    <w:rsid w:val="009D4B34"/>
    <w:rsid w:val="009D4CEC"/>
    <w:rsid w:val="009D5031"/>
    <w:rsid w:val="009D5AA0"/>
    <w:rsid w:val="009D5DB5"/>
    <w:rsid w:val="009D6BA7"/>
    <w:rsid w:val="009D6E38"/>
    <w:rsid w:val="009D7080"/>
    <w:rsid w:val="009E0261"/>
    <w:rsid w:val="009E02CD"/>
    <w:rsid w:val="009E180D"/>
    <w:rsid w:val="009E1C05"/>
    <w:rsid w:val="009E1D64"/>
    <w:rsid w:val="009E1DF8"/>
    <w:rsid w:val="009E2E23"/>
    <w:rsid w:val="009E3EB8"/>
    <w:rsid w:val="009E434D"/>
    <w:rsid w:val="009E589E"/>
    <w:rsid w:val="009E5960"/>
    <w:rsid w:val="009E5A4D"/>
    <w:rsid w:val="009E5C45"/>
    <w:rsid w:val="009E6CA0"/>
    <w:rsid w:val="009E6EFD"/>
    <w:rsid w:val="009E7865"/>
    <w:rsid w:val="009E7CC4"/>
    <w:rsid w:val="009F0B34"/>
    <w:rsid w:val="009F0DEB"/>
    <w:rsid w:val="009F13F2"/>
    <w:rsid w:val="009F14DD"/>
    <w:rsid w:val="009F1EB7"/>
    <w:rsid w:val="009F201D"/>
    <w:rsid w:val="009F27ED"/>
    <w:rsid w:val="009F2E7C"/>
    <w:rsid w:val="009F2F36"/>
    <w:rsid w:val="009F3316"/>
    <w:rsid w:val="009F3A8F"/>
    <w:rsid w:val="009F436C"/>
    <w:rsid w:val="009F4451"/>
    <w:rsid w:val="009F603A"/>
    <w:rsid w:val="009F6166"/>
    <w:rsid w:val="009F6176"/>
    <w:rsid w:val="009F7373"/>
    <w:rsid w:val="009F7987"/>
    <w:rsid w:val="00A0158D"/>
    <w:rsid w:val="00A029F9"/>
    <w:rsid w:val="00A03451"/>
    <w:rsid w:val="00A03985"/>
    <w:rsid w:val="00A03A24"/>
    <w:rsid w:val="00A04B1A"/>
    <w:rsid w:val="00A04E9F"/>
    <w:rsid w:val="00A05043"/>
    <w:rsid w:val="00A05532"/>
    <w:rsid w:val="00A06154"/>
    <w:rsid w:val="00A0638A"/>
    <w:rsid w:val="00A11598"/>
    <w:rsid w:val="00A115E8"/>
    <w:rsid w:val="00A12524"/>
    <w:rsid w:val="00A12C6B"/>
    <w:rsid w:val="00A14534"/>
    <w:rsid w:val="00A14773"/>
    <w:rsid w:val="00A14F8D"/>
    <w:rsid w:val="00A152A9"/>
    <w:rsid w:val="00A154AA"/>
    <w:rsid w:val="00A160F0"/>
    <w:rsid w:val="00A172E9"/>
    <w:rsid w:val="00A175F9"/>
    <w:rsid w:val="00A200D8"/>
    <w:rsid w:val="00A20819"/>
    <w:rsid w:val="00A20989"/>
    <w:rsid w:val="00A20B05"/>
    <w:rsid w:val="00A218B3"/>
    <w:rsid w:val="00A21BBD"/>
    <w:rsid w:val="00A21F99"/>
    <w:rsid w:val="00A221F2"/>
    <w:rsid w:val="00A241D1"/>
    <w:rsid w:val="00A24545"/>
    <w:rsid w:val="00A251C6"/>
    <w:rsid w:val="00A25B53"/>
    <w:rsid w:val="00A25D3B"/>
    <w:rsid w:val="00A25F3E"/>
    <w:rsid w:val="00A26594"/>
    <w:rsid w:val="00A26CF8"/>
    <w:rsid w:val="00A30865"/>
    <w:rsid w:val="00A30A42"/>
    <w:rsid w:val="00A30F15"/>
    <w:rsid w:val="00A32720"/>
    <w:rsid w:val="00A327B7"/>
    <w:rsid w:val="00A33B1D"/>
    <w:rsid w:val="00A3469A"/>
    <w:rsid w:val="00A34BA2"/>
    <w:rsid w:val="00A34D84"/>
    <w:rsid w:val="00A3595B"/>
    <w:rsid w:val="00A36348"/>
    <w:rsid w:val="00A3639C"/>
    <w:rsid w:val="00A36869"/>
    <w:rsid w:val="00A36BDD"/>
    <w:rsid w:val="00A4001D"/>
    <w:rsid w:val="00A40643"/>
    <w:rsid w:val="00A40869"/>
    <w:rsid w:val="00A413B6"/>
    <w:rsid w:val="00A431A2"/>
    <w:rsid w:val="00A4353E"/>
    <w:rsid w:val="00A43C30"/>
    <w:rsid w:val="00A441F6"/>
    <w:rsid w:val="00A45BB8"/>
    <w:rsid w:val="00A45C1B"/>
    <w:rsid w:val="00A470F1"/>
    <w:rsid w:val="00A4735F"/>
    <w:rsid w:val="00A47485"/>
    <w:rsid w:val="00A5095F"/>
    <w:rsid w:val="00A50B7A"/>
    <w:rsid w:val="00A50C42"/>
    <w:rsid w:val="00A51748"/>
    <w:rsid w:val="00A525C7"/>
    <w:rsid w:val="00A53C96"/>
    <w:rsid w:val="00A54868"/>
    <w:rsid w:val="00A54DB6"/>
    <w:rsid w:val="00A56413"/>
    <w:rsid w:val="00A57C12"/>
    <w:rsid w:val="00A603A0"/>
    <w:rsid w:val="00A60AD9"/>
    <w:rsid w:val="00A60CA7"/>
    <w:rsid w:val="00A610D7"/>
    <w:rsid w:val="00A61AF5"/>
    <w:rsid w:val="00A6282B"/>
    <w:rsid w:val="00A62EF7"/>
    <w:rsid w:val="00A6344C"/>
    <w:rsid w:val="00A6421C"/>
    <w:rsid w:val="00A646EB"/>
    <w:rsid w:val="00A64D8C"/>
    <w:rsid w:val="00A65154"/>
    <w:rsid w:val="00A65597"/>
    <w:rsid w:val="00A65EFA"/>
    <w:rsid w:val="00A663F7"/>
    <w:rsid w:val="00A66A41"/>
    <w:rsid w:val="00A66A4C"/>
    <w:rsid w:val="00A66FFA"/>
    <w:rsid w:val="00A673D9"/>
    <w:rsid w:val="00A6748E"/>
    <w:rsid w:val="00A676BB"/>
    <w:rsid w:val="00A708D7"/>
    <w:rsid w:val="00A709C2"/>
    <w:rsid w:val="00A715BA"/>
    <w:rsid w:val="00A71B7F"/>
    <w:rsid w:val="00A7218F"/>
    <w:rsid w:val="00A72381"/>
    <w:rsid w:val="00A72AD3"/>
    <w:rsid w:val="00A72F29"/>
    <w:rsid w:val="00A73DAD"/>
    <w:rsid w:val="00A7440A"/>
    <w:rsid w:val="00A74D7C"/>
    <w:rsid w:val="00A74E5B"/>
    <w:rsid w:val="00A75611"/>
    <w:rsid w:val="00A75AA9"/>
    <w:rsid w:val="00A75F73"/>
    <w:rsid w:val="00A766D4"/>
    <w:rsid w:val="00A800B6"/>
    <w:rsid w:val="00A80271"/>
    <w:rsid w:val="00A807B2"/>
    <w:rsid w:val="00A815BA"/>
    <w:rsid w:val="00A81757"/>
    <w:rsid w:val="00A82D76"/>
    <w:rsid w:val="00A83359"/>
    <w:rsid w:val="00A835E2"/>
    <w:rsid w:val="00A8405D"/>
    <w:rsid w:val="00A851A5"/>
    <w:rsid w:val="00A8545F"/>
    <w:rsid w:val="00A86A35"/>
    <w:rsid w:val="00A87AE3"/>
    <w:rsid w:val="00A87BFB"/>
    <w:rsid w:val="00A901A1"/>
    <w:rsid w:val="00A90345"/>
    <w:rsid w:val="00A9047A"/>
    <w:rsid w:val="00A917E2"/>
    <w:rsid w:val="00A92FAE"/>
    <w:rsid w:val="00A935BB"/>
    <w:rsid w:val="00A94154"/>
    <w:rsid w:val="00A94D76"/>
    <w:rsid w:val="00A94E1D"/>
    <w:rsid w:val="00A94E69"/>
    <w:rsid w:val="00A95F5D"/>
    <w:rsid w:val="00A96185"/>
    <w:rsid w:val="00AA095B"/>
    <w:rsid w:val="00AA1112"/>
    <w:rsid w:val="00AA1B4E"/>
    <w:rsid w:val="00AA23AF"/>
    <w:rsid w:val="00AA284F"/>
    <w:rsid w:val="00AA2A81"/>
    <w:rsid w:val="00AA30A1"/>
    <w:rsid w:val="00AA3474"/>
    <w:rsid w:val="00AA3A9B"/>
    <w:rsid w:val="00AA40DA"/>
    <w:rsid w:val="00AA5B2F"/>
    <w:rsid w:val="00AA5DC4"/>
    <w:rsid w:val="00AA6021"/>
    <w:rsid w:val="00AA6184"/>
    <w:rsid w:val="00AA7469"/>
    <w:rsid w:val="00AA7DFA"/>
    <w:rsid w:val="00AA7FEF"/>
    <w:rsid w:val="00AB04D0"/>
    <w:rsid w:val="00AB0A99"/>
    <w:rsid w:val="00AB0AB7"/>
    <w:rsid w:val="00AB0AF9"/>
    <w:rsid w:val="00AB1D00"/>
    <w:rsid w:val="00AB2550"/>
    <w:rsid w:val="00AB29D1"/>
    <w:rsid w:val="00AB2D4C"/>
    <w:rsid w:val="00AB3627"/>
    <w:rsid w:val="00AB754D"/>
    <w:rsid w:val="00AC0D99"/>
    <w:rsid w:val="00AC154D"/>
    <w:rsid w:val="00AC304E"/>
    <w:rsid w:val="00AC6839"/>
    <w:rsid w:val="00AC75F4"/>
    <w:rsid w:val="00AC77CC"/>
    <w:rsid w:val="00AD010B"/>
    <w:rsid w:val="00AD0877"/>
    <w:rsid w:val="00AD257A"/>
    <w:rsid w:val="00AD2994"/>
    <w:rsid w:val="00AD2C4F"/>
    <w:rsid w:val="00AD2E60"/>
    <w:rsid w:val="00AD5C46"/>
    <w:rsid w:val="00AD71FB"/>
    <w:rsid w:val="00AD7795"/>
    <w:rsid w:val="00AE1E49"/>
    <w:rsid w:val="00AE1EA8"/>
    <w:rsid w:val="00AE23DF"/>
    <w:rsid w:val="00AE341C"/>
    <w:rsid w:val="00AE3ABE"/>
    <w:rsid w:val="00AE428D"/>
    <w:rsid w:val="00AE4DD5"/>
    <w:rsid w:val="00AE5913"/>
    <w:rsid w:val="00AE608D"/>
    <w:rsid w:val="00AE69AA"/>
    <w:rsid w:val="00AE78FB"/>
    <w:rsid w:val="00AE7940"/>
    <w:rsid w:val="00AF0835"/>
    <w:rsid w:val="00AF0964"/>
    <w:rsid w:val="00AF0B7F"/>
    <w:rsid w:val="00AF0C7E"/>
    <w:rsid w:val="00AF12E3"/>
    <w:rsid w:val="00AF15E8"/>
    <w:rsid w:val="00AF1C79"/>
    <w:rsid w:val="00AF22B1"/>
    <w:rsid w:val="00AF2404"/>
    <w:rsid w:val="00AF25FC"/>
    <w:rsid w:val="00AF2806"/>
    <w:rsid w:val="00AF4951"/>
    <w:rsid w:val="00AF4D6A"/>
    <w:rsid w:val="00AF5670"/>
    <w:rsid w:val="00AF5A80"/>
    <w:rsid w:val="00AF66BC"/>
    <w:rsid w:val="00AF6AC4"/>
    <w:rsid w:val="00AF6C2B"/>
    <w:rsid w:val="00AF6D5E"/>
    <w:rsid w:val="00AF7B6A"/>
    <w:rsid w:val="00B00059"/>
    <w:rsid w:val="00B003E5"/>
    <w:rsid w:val="00B02743"/>
    <w:rsid w:val="00B03496"/>
    <w:rsid w:val="00B03B78"/>
    <w:rsid w:val="00B03BA0"/>
    <w:rsid w:val="00B051B9"/>
    <w:rsid w:val="00B057AA"/>
    <w:rsid w:val="00B05CBD"/>
    <w:rsid w:val="00B06735"/>
    <w:rsid w:val="00B07267"/>
    <w:rsid w:val="00B072B3"/>
    <w:rsid w:val="00B101F0"/>
    <w:rsid w:val="00B10847"/>
    <w:rsid w:val="00B109A6"/>
    <w:rsid w:val="00B121FC"/>
    <w:rsid w:val="00B1239A"/>
    <w:rsid w:val="00B12AA2"/>
    <w:rsid w:val="00B12EA5"/>
    <w:rsid w:val="00B134DF"/>
    <w:rsid w:val="00B13B3C"/>
    <w:rsid w:val="00B14525"/>
    <w:rsid w:val="00B16135"/>
    <w:rsid w:val="00B17255"/>
    <w:rsid w:val="00B176DC"/>
    <w:rsid w:val="00B17D6D"/>
    <w:rsid w:val="00B23052"/>
    <w:rsid w:val="00B24A76"/>
    <w:rsid w:val="00B25253"/>
    <w:rsid w:val="00B253FD"/>
    <w:rsid w:val="00B25BB3"/>
    <w:rsid w:val="00B25F73"/>
    <w:rsid w:val="00B264F4"/>
    <w:rsid w:val="00B2659B"/>
    <w:rsid w:val="00B26BBE"/>
    <w:rsid w:val="00B26C6E"/>
    <w:rsid w:val="00B26E3C"/>
    <w:rsid w:val="00B27414"/>
    <w:rsid w:val="00B3071D"/>
    <w:rsid w:val="00B31B97"/>
    <w:rsid w:val="00B31DEF"/>
    <w:rsid w:val="00B32956"/>
    <w:rsid w:val="00B32B51"/>
    <w:rsid w:val="00B32F3F"/>
    <w:rsid w:val="00B33C89"/>
    <w:rsid w:val="00B34920"/>
    <w:rsid w:val="00B34ECC"/>
    <w:rsid w:val="00B36547"/>
    <w:rsid w:val="00B366CA"/>
    <w:rsid w:val="00B36976"/>
    <w:rsid w:val="00B41A02"/>
    <w:rsid w:val="00B41BF3"/>
    <w:rsid w:val="00B42750"/>
    <w:rsid w:val="00B429E4"/>
    <w:rsid w:val="00B42DCC"/>
    <w:rsid w:val="00B42E8D"/>
    <w:rsid w:val="00B430EE"/>
    <w:rsid w:val="00B46594"/>
    <w:rsid w:val="00B467ED"/>
    <w:rsid w:val="00B4724A"/>
    <w:rsid w:val="00B47A52"/>
    <w:rsid w:val="00B5040D"/>
    <w:rsid w:val="00B51A13"/>
    <w:rsid w:val="00B51ADD"/>
    <w:rsid w:val="00B52B6D"/>
    <w:rsid w:val="00B5364C"/>
    <w:rsid w:val="00B53B4C"/>
    <w:rsid w:val="00B55420"/>
    <w:rsid w:val="00B559C2"/>
    <w:rsid w:val="00B559D3"/>
    <w:rsid w:val="00B60ED1"/>
    <w:rsid w:val="00B6117C"/>
    <w:rsid w:val="00B61BC0"/>
    <w:rsid w:val="00B627E5"/>
    <w:rsid w:val="00B62809"/>
    <w:rsid w:val="00B628BA"/>
    <w:rsid w:val="00B62BE6"/>
    <w:rsid w:val="00B66344"/>
    <w:rsid w:val="00B671F6"/>
    <w:rsid w:val="00B677E6"/>
    <w:rsid w:val="00B67DD6"/>
    <w:rsid w:val="00B67FCA"/>
    <w:rsid w:val="00B700F7"/>
    <w:rsid w:val="00B70BDF"/>
    <w:rsid w:val="00B70C9A"/>
    <w:rsid w:val="00B717B9"/>
    <w:rsid w:val="00B7194D"/>
    <w:rsid w:val="00B72134"/>
    <w:rsid w:val="00B7243B"/>
    <w:rsid w:val="00B73186"/>
    <w:rsid w:val="00B73629"/>
    <w:rsid w:val="00B757D3"/>
    <w:rsid w:val="00B76B02"/>
    <w:rsid w:val="00B76BDA"/>
    <w:rsid w:val="00B772B2"/>
    <w:rsid w:val="00B8006F"/>
    <w:rsid w:val="00B80B9B"/>
    <w:rsid w:val="00B80FBF"/>
    <w:rsid w:val="00B81854"/>
    <w:rsid w:val="00B83FE7"/>
    <w:rsid w:val="00B84DB6"/>
    <w:rsid w:val="00B85BBC"/>
    <w:rsid w:val="00B86AD3"/>
    <w:rsid w:val="00B86D57"/>
    <w:rsid w:val="00B87881"/>
    <w:rsid w:val="00B903B7"/>
    <w:rsid w:val="00B91B16"/>
    <w:rsid w:val="00B91C39"/>
    <w:rsid w:val="00B91E1A"/>
    <w:rsid w:val="00B91E80"/>
    <w:rsid w:val="00B92101"/>
    <w:rsid w:val="00B92165"/>
    <w:rsid w:val="00B9223C"/>
    <w:rsid w:val="00B926A7"/>
    <w:rsid w:val="00B92E0D"/>
    <w:rsid w:val="00B940AC"/>
    <w:rsid w:val="00B94817"/>
    <w:rsid w:val="00B94E6A"/>
    <w:rsid w:val="00B96CBD"/>
    <w:rsid w:val="00B96FA5"/>
    <w:rsid w:val="00B97037"/>
    <w:rsid w:val="00B9724C"/>
    <w:rsid w:val="00BA0953"/>
    <w:rsid w:val="00BA0A95"/>
    <w:rsid w:val="00BA0B60"/>
    <w:rsid w:val="00BA2D3A"/>
    <w:rsid w:val="00BA40D6"/>
    <w:rsid w:val="00BA49B2"/>
    <w:rsid w:val="00BA4E55"/>
    <w:rsid w:val="00BA5359"/>
    <w:rsid w:val="00BA56C6"/>
    <w:rsid w:val="00BA583C"/>
    <w:rsid w:val="00BA7946"/>
    <w:rsid w:val="00BB05AF"/>
    <w:rsid w:val="00BB132E"/>
    <w:rsid w:val="00BB1839"/>
    <w:rsid w:val="00BB26C1"/>
    <w:rsid w:val="00BB3694"/>
    <w:rsid w:val="00BB3AF6"/>
    <w:rsid w:val="00BB3BAE"/>
    <w:rsid w:val="00BB3DF1"/>
    <w:rsid w:val="00BB40F2"/>
    <w:rsid w:val="00BB552F"/>
    <w:rsid w:val="00BB56F3"/>
    <w:rsid w:val="00BB6154"/>
    <w:rsid w:val="00BB6940"/>
    <w:rsid w:val="00BB6E4C"/>
    <w:rsid w:val="00BB7C76"/>
    <w:rsid w:val="00BC095D"/>
    <w:rsid w:val="00BC096E"/>
    <w:rsid w:val="00BC0D8A"/>
    <w:rsid w:val="00BC38EA"/>
    <w:rsid w:val="00BC4B8C"/>
    <w:rsid w:val="00BC5845"/>
    <w:rsid w:val="00BC588C"/>
    <w:rsid w:val="00BC6AF4"/>
    <w:rsid w:val="00BC77C5"/>
    <w:rsid w:val="00BC7F56"/>
    <w:rsid w:val="00BD02E4"/>
    <w:rsid w:val="00BD0B8D"/>
    <w:rsid w:val="00BD1D31"/>
    <w:rsid w:val="00BD233E"/>
    <w:rsid w:val="00BD271A"/>
    <w:rsid w:val="00BD2934"/>
    <w:rsid w:val="00BD2D91"/>
    <w:rsid w:val="00BD3A6B"/>
    <w:rsid w:val="00BD4333"/>
    <w:rsid w:val="00BD5D30"/>
    <w:rsid w:val="00BD5D94"/>
    <w:rsid w:val="00BD664A"/>
    <w:rsid w:val="00BD692E"/>
    <w:rsid w:val="00BD7146"/>
    <w:rsid w:val="00BD73B1"/>
    <w:rsid w:val="00BD7784"/>
    <w:rsid w:val="00BD7EB3"/>
    <w:rsid w:val="00BE2627"/>
    <w:rsid w:val="00BE28ED"/>
    <w:rsid w:val="00BE29EC"/>
    <w:rsid w:val="00BE2CAD"/>
    <w:rsid w:val="00BE2D81"/>
    <w:rsid w:val="00BE39BD"/>
    <w:rsid w:val="00BE416D"/>
    <w:rsid w:val="00BE5922"/>
    <w:rsid w:val="00BE5A35"/>
    <w:rsid w:val="00BE673B"/>
    <w:rsid w:val="00BE73C9"/>
    <w:rsid w:val="00BF15D7"/>
    <w:rsid w:val="00BF21FD"/>
    <w:rsid w:val="00BF2249"/>
    <w:rsid w:val="00BF2614"/>
    <w:rsid w:val="00BF3135"/>
    <w:rsid w:val="00BF3E13"/>
    <w:rsid w:val="00BF42C8"/>
    <w:rsid w:val="00BF5126"/>
    <w:rsid w:val="00BF601D"/>
    <w:rsid w:val="00BF6D88"/>
    <w:rsid w:val="00C002F9"/>
    <w:rsid w:val="00C003C2"/>
    <w:rsid w:val="00C005F7"/>
    <w:rsid w:val="00C01FFC"/>
    <w:rsid w:val="00C02035"/>
    <w:rsid w:val="00C027EC"/>
    <w:rsid w:val="00C03FFB"/>
    <w:rsid w:val="00C041E7"/>
    <w:rsid w:val="00C044B9"/>
    <w:rsid w:val="00C04CA8"/>
    <w:rsid w:val="00C04DC8"/>
    <w:rsid w:val="00C04F01"/>
    <w:rsid w:val="00C05D02"/>
    <w:rsid w:val="00C05D6A"/>
    <w:rsid w:val="00C063F5"/>
    <w:rsid w:val="00C06E7B"/>
    <w:rsid w:val="00C07242"/>
    <w:rsid w:val="00C072F3"/>
    <w:rsid w:val="00C1006D"/>
    <w:rsid w:val="00C10664"/>
    <w:rsid w:val="00C10874"/>
    <w:rsid w:val="00C10906"/>
    <w:rsid w:val="00C11554"/>
    <w:rsid w:val="00C116B8"/>
    <w:rsid w:val="00C11C47"/>
    <w:rsid w:val="00C11EA8"/>
    <w:rsid w:val="00C12AA3"/>
    <w:rsid w:val="00C15282"/>
    <w:rsid w:val="00C1678A"/>
    <w:rsid w:val="00C17A5E"/>
    <w:rsid w:val="00C17E56"/>
    <w:rsid w:val="00C17F14"/>
    <w:rsid w:val="00C17F39"/>
    <w:rsid w:val="00C203DA"/>
    <w:rsid w:val="00C20E8D"/>
    <w:rsid w:val="00C21087"/>
    <w:rsid w:val="00C21301"/>
    <w:rsid w:val="00C215A2"/>
    <w:rsid w:val="00C22193"/>
    <w:rsid w:val="00C222F9"/>
    <w:rsid w:val="00C224DB"/>
    <w:rsid w:val="00C2359C"/>
    <w:rsid w:val="00C23D69"/>
    <w:rsid w:val="00C24717"/>
    <w:rsid w:val="00C24E7E"/>
    <w:rsid w:val="00C2533B"/>
    <w:rsid w:val="00C26377"/>
    <w:rsid w:val="00C264EE"/>
    <w:rsid w:val="00C268CF"/>
    <w:rsid w:val="00C3041D"/>
    <w:rsid w:val="00C30684"/>
    <w:rsid w:val="00C31305"/>
    <w:rsid w:val="00C31383"/>
    <w:rsid w:val="00C31F51"/>
    <w:rsid w:val="00C320B2"/>
    <w:rsid w:val="00C3216A"/>
    <w:rsid w:val="00C338DB"/>
    <w:rsid w:val="00C33F06"/>
    <w:rsid w:val="00C343B2"/>
    <w:rsid w:val="00C345DC"/>
    <w:rsid w:val="00C34B56"/>
    <w:rsid w:val="00C35095"/>
    <w:rsid w:val="00C35896"/>
    <w:rsid w:val="00C36A01"/>
    <w:rsid w:val="00C37D34"/>
    <w:rsid w:val="00C37FF4"/>
    <w:rsid w:val="00C40329"/>
    <w:rsid w:val="00C419EB"/>
    <w:rsid w:val="00C41DC1"/>
    <w:rsid w:val="00C421D0"/>
    <w:rsid w:val="00C42C81"/>
    <w:rsid w:val="00C437A6"/>
    <w:rsid w:val="00C43A84"/>
    <w:rsid w:val="00C45060"/>
    <w:rsid w:val="00C4548B"/>
    <w:rsid w:val="00C457BC"/>
    <w:rsid w:val="00C45C73"/>
    <w:rsid w:val="00C45F86"/>
    <w:rsid w:val="00C46450"/>
    <w:rsid w:val="00C46CF7"/>
    <w:rsid w:val="00C50C97"/>
    <w:rsid w:val="00C51FBB"/>
    <w:rsid w:val="00C52879"/>
    <w:rsid w:val="00C5289D"/>
    <w:rsid w:val="00C529A8"/>
    <w:rsid w:val="00C52A6D"/>
    <w:rsid w:val="00C52DBB"/>
    <w:rsid w:val="00C53D6B"/>
    <w:rsid w:val="00C549CC"/>
    <w:rsid w:val="00C54E16"/>
    <w:rsid w:val="00C55071"/>
    <w:rsid w:val="00C55A05"/>
    <w:rsid w:val="00C566AA"/>
    <w:rsid w:val="00C56DD6"/>
    <w:rsid w:val="00C56EE9"/>
    <w:rsid w:val="00C5795F"/>
    <w:rsid w:val="00C57A5A"/>
    <w:rsid w:val="00C57DBC"/>
    <w:rsid w:val="00C61437"/>
    <w:rsid w:val="00C61F8D"/>
    <w:rsid w:val="00C61FE2"/>
    <w:rsid w:val="00C62229"/>
    <w:rsid w:val="00C6288D"/>
    <w:rsid w:val="00C633AB"/>
    <w:rsid w:val="00C6340E"/>
    <w:rsid w:val="00C63AEF"/>
    <w:rsid w:val="00C63CE3"/>
    <w:rsid w:val="00C63F45"/>
    <w:rsid w:val="00C64D42"/>
    <w:rsid w:val="00C660DE"/>
    <w:rsid w:val="00C67791"/>
    <w:rsid w:val="00C67F5F"/>
    <w:rsid w:val="00C67FCE"/>
    <w:rsid w:val="00C706A2"/>
    <w:rsid w:val="00C70F32"/>
    <w:rsid w:val="00C71003"/>
    <w:rsid w:val="00C71E76"/>
    <w:rsid w:val="00C71F6E"/>
    <w:rsid w:val="00C72AF4"/>
    <w:rsid w:val="00C7365A"/>
    <w:rsid w:val="00C7425C"/>
    <w:rsid w:val="00C74A4C"/>
    <w:rsid w:val="00C7534C"/>
    <w:rsid w:val="00C75911"/>
    <w:rsid w:val="00C76350"/>
    <w:rsid w:val="00C76C93"/>
    <w:rsid w:val="00C774AE"/>
    <w:rsid w:val="00C77F57"/>
    <w:rsid w:val="00C80677"/>
    <w:rsid w:val="00C808F2"/>
    <w:rsid w:val="00C80D00"/>
    <w:rsid w:val="00C821A3"/>
    <w:rsid w:val="00C82FCE"/>
    <w:rsid w:val="00C83D9B"/>
    <w:rsid w:val="00C8597E"/>
    <w:rsid w:val="00C877CE"/>
    <w:rsid w:val="00C8782A"/>
    <w:rsid w:val="00C87C52"/>
    <w:rsid w:val="00C91289"/>
    <w:rsid w:val="00C915E1"/>
    <w:rsid w:val="00C91617"/>
    <w:rsid w:val="00C9174C"/>
    <w:rsid w:val="00C91B1B"/>
    <w:rsid w:val="00C91DF0"/>
    <w:rsid w:val="00C922B4"/>
    <w:rsid w:val="00C92743"/>
    <w:rsid w:val="00C92B11"/>
    <w:rsid w:val="00C92C20"/>
    <w:rsid w:val="00C92F2D"/>
    <w:rsid w:val="00C93173"/>
    <w:rsid w:val="00C932ED"/>
    <w:rsid w:val="00C9334E"/>
    <w:rsid w:val="00C94CA4"/>
    <w:rsid w:val="00C95319"/>
    <w:rsid w:val="00C953A8"/>
    <w:rsid w:val="00C95879"/>
    <w:rsid w:val="00C9631A"/>
    <w:rsid w:val="00C96350"/>
    <w:rsid w:val="00C97390"/>
    <w:rsid w:val="00C9781F"/>
    <w:rsid w:val="00CA01BB"/>
    <w:rsid w:val="00CA07BE"/>
    <w:rsid w:val="00CA0AE8"/>
    <w:rsid w:val="00CA0CA5"/>
    <w:rsid w:val="00CA1C4C"/>
    <w:rsid w:val="00CA26E1"/>
    <w:rsid w:val="00CA2860"/>
    <w:rsid w:val="00CA3496"/>
    <w:rsid w:val="00CA3D8F"/>
    <w:rsid w:val="00CA4C6E"/>
    <w:rsid w:val="00CA5705"/>
    <w:rsid w:val="00CA5F12"/>
    <w:rsid w:val="00CA5FD7"/>
    <w:rsid w:val="00CA6735"/>
    <w:rsid w:val="00CA72FF"/>
    <w:rsid w:val="00CA7674"/>
    <w:rsid w:val="00CA78AF"/>
    <w:rsid w:val="00CA7C8B"/>
    <w:rsid w:val="00CA7DE2"/>
    <w:rsid w:val="00CB00EC"/>
    <w:rsid w:val="00CB19D9"/>
    <w:rsid w:val="00CB1BD6"/>
    <w:rsid w:val="00CB380C"/>
    <w:rsid w:val="00CB4091"/>
    <w:rsid w:val="00CB4789"/>
    <w:rsid w:val="00CB4919"/>
    <w:rsid w:val="00CB4AFC"/>
    <w:rsid w:val="00CB50A3"/>
    <w:rsid w:val="00CB5643"/>
    <w:rsid w:val="00CB5835"/>
    <w:rsid w:val="00CC03B2"/>
    <w:rsid w:val="00CC05B3"/>
    <w:rsid w:val="00CC1F50"/>
    <w:rsid w:val="00CC276D"/>
    <w:rsid w:val="00CC2A91"/>
    <w:rsid w:val="00CC3159"/>
    <w:rsid w:val="00CC3177"/>
    <w:rsid w:val="00CC446F"/>
    <w:rsid w:val="00CC4698"/>
    <w:rsid w:val="00CC52C6"/>
    <w:rsid w:val="00CC559A"/>
    <w:rsid w:val="00CC62B2"/>
    <w:rsid w:val="00CC6556"/>
    <w:rsid w:val="00CC657C"/>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177D"/>
    <w:rsid w:val="00CE1B5B"/>
    <w:rsid w:val="00CE3680"/>
    <w:rsid w:val="00CE3CB9"/>
    <w:rsid w:val="00CE4686"/>
    <w:rsid w:val="00CE7174"/>
    <w:rsid w:val="00CE723A"/>
    <w:rsid w:val="00CF0C49"/>
    <w:rsid w:val="00CF0E26"/>
    <w:rsid w:val="00CF11C8"/>
    <w:rsid w:val="00CF1388"/>
    <w:rsid w:val="00CF1A47"/>
    <w:rsid w:val="00CF1EEC"/>
    <w:rsid w:val="00CF25C1"/>
    <w:rsid w:val="00CF32B9"/>
    <w:rsid w:val="00CF3C4C"/>
    <w:rsid w:val="00CF4388"/>
    <w:rsid w:val="00CF472E"/>
    <w:rsid w:val="00CF4DDE"/>
    <w:rsid w:val="00CF5227"/>
    <w:rsid w:val="00CF566D"/>
    <w:rsid w:val="00CF60C4"/>
    <w:rsid w:val="00CF685C"/>
    <w:rsid w:val="00CF7376"/>
    <w:rsid w:val="00D017EE"/>
    <w:rsid w:val="00D01B64"/>
    <w:rsid w:val="00D02393"/>
    <w:rsid w:val="00D027B9"/>
    <w:rsid w:val="00D0365F"/>
    <w:rsid w:val="00D05B87"/>
    <w:rsid w:val="00D06330"/>
    <w:rsid w:val="00D07AEB"/>
    <w:rsid w:val="00D07B94"/>
    <w:rsid w:val="00D11731"/>
    <w:rsid w:val="00D11EC4"/>
    <w:rsid w:val="00D12448"/>
    <w:rsid w:val="00D126C4"/>
    <w:rsid w:val="00D129BA"/>
    <w:rsid w:val="00D12CE2"/>
    <w:rsid w:val="00D14134"/>
    <w:rsid w:val="00D14F41"/>
    <w:rsid w:val="00D152B2"/>
    <w:rsid w:val="00D155A1"/>
    <w:rsid w:val="00D15873"/>
    <w:rsid w:val="00D15B4B"/>
    <w:rsid w:val="00D1600B"/>
    <w:rsid w:val="00D16751"/>
    <w:rsid w:val="00D16F1F"/>
    <w:rsid w:val="00D205BD"/>
    <w:rsid w:val="00D20CC6"/>
    <w:rsid w:val="00D20FA8"/>
    <w:rsid w:val="00D21703"/>
    <w:rsid w:val="00D21977"/>
    <w:rsid w:val="00D22193"/>
    <w:rsid w:val="00D22B52"/>
    <w:rsid w:val="00D23809"/>
    <w:rsid w:val="00D24142"/>
    <w:rsid w:val="00D25CC7"/>
    <w:rsid w:val="00D267C1"/>
    <w:rsid w:val="00D30398"/>
    <w:rsid w:val="00D30E4B"/>
    <w:rsid w:val="00D3132C"/>
    <w:rsid w:val="00D3153E"/>
    <w:rsid w:val="00D341BF"/>
    <w:rsid w:val="00D35806"/>
    <w:rsid w:val="00D36651"/>
    <w:rsid w:val="00D367E2"/>
    <w:rsid w:val="00D37463"/>
    <w:rsid w:val="00D4085B"/>
    <w:rsid w:val="00D4094E"/>
    <w:rsid w:val="00D41BAE"/>
    <w:rsid w:val="00D41D03"/>
    <w:rsid w:val="00D41D52"/>
    <w:rsid w:val="00D422B1"/>
    <w:rsid w:val="00D42A8B"/>
    <w:rsid w:val="00D431B5"/>
    <w:rsid w:val="00D435F7"/>
    <w:rsid w:val="00D4371D"/>
    <w:rsid w:val="00D439F7"/>
    <w:rsid w:val="00D43E15"/>
    <w:rsid w:val="00D43FAF"/>
    <w:rsid w:val="00D458AC"/>
    <w:rsid w:val="00D45E5A"/>
    <w:rsid w:val="00D45ECD"/>
    <w:rsid w:val="00D508E5"/>
    <w:rsid w:val="00D51071"/>
    <w:rsid w:val="00D52098"/>
    <w:rsid w:val="00D53141"/>
    <w:rsid w:val="00D53D5E"/>
    <w:rsid w:val="00D54279"/>
    <w:rsid w:val="00D553B2"/>
    <w:rsid w:val="00D55F77"/>
    <w:rsid w:val="00D55FE5"/>
    <w:rsid w:val="00D56C33"/>
    <w:rsid w:val="00D56EFA"/>
    <w:rsid w:val="00D5763D"/>
    <w:rsid w:val="00D57DF1"/>
    <w:rsid w:val="00D607EA"/>
    <w:rsid w:val="00D60FD5"/>
    <w:rsid w:val="00D6128C"/>
    <w:rsid w:val="00D614A7"/>
    <w:rsid w:val="00D6227F"/>
    <w:rsid w:val="00D62ACE"/>
    <w:rsid w:val="00D62DD7"/>
    <w:rsid w:val="00D631F4"/>
    <w:rsid w:val="00D63BBF"/>
    <w:rsid w:val="00D6428F"/>
    <w:rsid w:val="00D643AC"/>
    <w:rsid w:val="00D64FC5"/>
    <w:rsid w:val="00D65159"/>
    <w:rsid w:val="00D654D6"/>
    <w:rsid w:val="00D65879"/>
    <w:rsid w:val="00D65C8B"/>
    <w:rsid w:val="00D65E07"/>
    <w:rsid w:val="00D67594"/>
    <w:rsid w:val="00D67A61"/>
    <w:rsid w:val="00D67AC1"/>
    <w:rsid w:val="00D67EEE"/>
    <w:rsid w:val="00D70877"/>
    <w:rsid w:val="00D71A72"/>
    <w:rsid w:val="00D71D62"/>
    <w:rsid w:val="00D72242"/>
    <w:rsid w:val="00D72F53"/>
    <w:rsid w:val="00D73662"/>
    <w:rsid w:val="00D73B25"/>
    <w:rsid w:val="00D76387"/>
    <w:rsid w:val="00D765DD"/>
    <w:rsid w:val="00D80674"/>
    <w:rsid w:val="00D811AA"/>
    <w:rsid w:val="00D814B8"/>
    <w:rsid w:val="00D81B0C"/>
    <w:rsid w:val="00D822A6"/>
    <w:rsid w:val="00D82C76"/>
    <w:rsid w:val="00D83510"/>
    <w:rsid w:val="00D8470C"/>
    <w:rsid w:val="00D84B5B"/>
    <w:rsid w:val="00D86A0A"/>
    <w:rsid w:val="00D87298"/>
    <w:rsid w:val="00D90211"/>
    <w:rsid w:val="00D91591"/>
    <w:rsid w:val="00D919D6"/>
    <w:rsid w:val="00D91A75"/>
    <w:rsid w:val="00D91E95"/>
    <w:rsid w:val="00D92431"/>
    <w:rsid w:val="00D93332"/>
    <w:rsid w:val="00D93453"/>
    <w:rsid w:val="00D93C05"/>
    <w:rsid w:val="00D93C7A"/>
    <w:rsid w:val="00D94FFD"/>
    <w:rsid w:val="00D95781"/>
    <w:rsid w:val="00D95CAE"/>
    <w:rsid w:val="00D96A07"/>
    <w:rsid w:val="00D9725E"/>
    <w:rsid w:val="00DA0093"/>
    <w:rsid w:val="00DA01E8"/>
    <w:rsid w:val="00DA08ED"/>
    <w:rsid w:val="00DA20A7"/>
    <w:rsid w:val="00DA23FB"/>
    <w:rsid w:val="00DA2BC9"/>
    <w:rsid w:val="00DA306A"/>
    <w:rsid w:val="00DA3257"/>
    <w:rsid w:val="00DA402C"/>
    <w:rsid w:val="00DA4964"/>
    <w:rsid w:val="00DA59ED"/>
    <w:rsid w:val="00DA5B23"/>
    <w:rsid w:val="00DA5F45"/>
    <w:rsid w:val="00DA5FED"/>
    <w:rsid w:val="00DA634F"/>
    <w:rsid w:val="00DA69C9"/>
    <w:rsid w:val="00DA76CB"/>
    <w:rsid w:val="00DA7A34"/>
    <w:rsid w:val="00DB00DF"/>
    <w:rsid w:val="00DB1C4B"/>
    <w:rsid w:val="00DB1E8F"/>
    <w:rsid w:val="00DB3045"/>
    <w:rsid w:val="00DB3F45"/>
    <w:rsid w:val="00DB4364"/>
    <w:rsid w:val="00DB45DB"/>
    <w:rsid w:val="00DB585B"/>
    <w:rsid w:val="00DB5FD5"/>
    <w:rsid w:val="00DB674E"/>
    <w:rsid w:val="00DB6B2A"/>
    <w:rsid w:val="00DB7C7E"/>
    <w:rsid w:val="00DB7EBE"/>
    <w:rsid w:val="00DB7F75"/>
    <w:rsid w:val="00DC05BA"/>
    <w:rsid w:val="00DC09F2"/>
    <w:rsid w:val="00DC1470"/>
    <w:rsid w:val="00DC348B"/>
    <w:rsid w:val="00DC3F9A"/>
    <w:rsid w:val="00DC4A0C"/>
    <w:rsid w:val="00DC585F"/>
    <w:rsid w:val="00DC5CD9"/>
    <w:rsid w:val="00DC651A"/>
    <w:rsid w:val="00DD0DAE"/>
    <w:rsid w:val="00DD0F89"/>
    <w:rsid w:val="00DD17D0"/>
    <w:rsid w:val="00DD1D1D"/>
    <w:rsid w:val="00DD2804"/>
    <w:rsid w:val="00DD2FCC"/>
    <w:rsid w:val="00DD3853"/>
    <w:rsid w:val="00DD5C8E"/>
    <w:rsid w:val="00DD7104"/>
    <w:rsid w:val="00DD7429"/>
    <w:rsid w:val="00DD7B1B"/>
    <w:rsid w:val="00DD7DBA"/>
    <w:rsid w:val="00DE08A2"/>
    <w:rsid w:val="00DE0D68"/>
    <w:rsid w:val="00DE1915"/>
    <w:rsid w:val="00DE1FF8"/>
    <w:rsid w:val="00DE3CB0"/>
    <w:rsid w:val="00DE40A6"/>
    <w:rsid w:val="00DE4CD8"/>
    <w:rsid w:val="00DE569F"/>
    <w:rsid w:val="00DE62AF"/>
    <w:rsid w:val="00DE6752"/>
    <w:rsid w:val="00DE699E"/>
    <w:rsid w:val="00DE74F4"/>
    <w:rsid w:val="00DE7C08"/>
    <w:rsid w:val="00DF03BB"/>
    <w:rsid w:val="00DF1806"/>
    <w:rsid w:val="00DF2098"/>
    <w:rsid w:val="00DF32FB"/>
    <w:rsid w:val="00DF3F5F"/>
    <w:rsid w:val="00DF44BF"/>
    <w:rsid w:val="00DF4AA1"/>
    <w:rsid w:val="00DF4B11"/>
    <w:rsid w:val="00DF530D"/>
    <w:rsid w:val="00DF5D29"/>
    <w:rsid w:val="00DF5E38"/>
    <w:rsid w:val="00DF69FB"/>
    <w:rsid w:val="00DF6F80"/>
    <w:rsid w:val="00DF74CA"/>
    <w:rsid w:val="00DF7A7D"/>
    <w:rsid w:val="00DF7C3C"/>
    <w:rsid w:val="00E003A4"/>
    <w:rsid w:val="00E01084"/>
    <w:rsid w:val="00E01217"/>
    <w:rsid w:val="00E018C9"/>
    <w:rsid w:val="00E03540"/>
    <w:rsid w:val="00E03862"/>
    <w:rsid w:val="00E03A6C"/>
    <w:rsid w:val="00E03B8B"/>
    <w:rsid w:val="00E04743"/>
    <w:rsid w:val="00E05359"/>
    <w:rsid w:val="00E0604A"/>
    <w:rsid w:val="00E06262"/>
    <w:rsid w:val="00E0626E"/>
    <w:rsid w:val="00E079D3"/>
    <w:rsid w:val="00E07A9D"/>
    <w:rsid w:val="00E07D8B"/>
    <w:rsid w:val="00E11111"/>
    <w:rsid w:val="00E11CEF"/>
    <w:rsid w:val="00E11D91"/>
    <w:rsid w:val="00E11EF2"/>
    <w:rsid w:val="00E12348"/>
    <w:rsid w:val="00E13CD5"/>
    <w:rsid w:val="00E14B31"/>
    <w:rsid w:val="00E14C4B"/>
    <w:rsid w:val="00E15046"/>
    <w:rsid w:val="00E151FC"/>
    <w:rsid w:val="00E1570C"/>
    <w:rsid w:val="00E1619B"/>
    <w:rsid w:val="00E20186"/>
    <w:rsid w:val="00E216CD"/>
    <w:rsid w:val="00E221B8"/>
    <w:rsid w:val="00E22620"/>
    <w:rsid w:val="00E22C9A"/>
    <w:rsid w:val="00E234D7"/>
    <w:rsid w:val="00E238E0"/>
    <w:rsid w:val="00E2422C"/>
    <w:rsid w:val="00E24FF3"/>
    <w:rsid w:val="00E25129"/>
    <w:rsid w:val="00E25B6C"/>
    <w:rsid w:val="00E26114"/>
    <w:rsid w:val="00E26158"/>
    <w:rsid w:val="00E2635A"/>
    <w:rsid w:val="00E26377"/>
    <w:rsid w:val="00E26858"/>
    <w:rsid w:val="00E2710C"/>
    <w:rsid w:val="00E30362"/>
    <w:rsid w:val="00E31B90"/>
    <w:rsid w:val="00E31EBD"/>
    <w:rsid w:val="00E31FA5"/>
    <w:rsid w:val="00E3225A"/>
    <w:rsid w:val="00E32350"/>
    <w:rsid w:val="00E32F89"/>
    <w:rsid w:val="00E33CD5"/>
    <w:rsid w:val="00E3412A"/>
    <w:rsid w:val="00E348C2"/>
    <w:rsid w:val="00E34D8B"/>
    <w:rsid w:val="00E35561"/>
    <w:rsid w:val="00E35CF5"/>
    <w:rsid w:val="00E35D9E"/>
    <w:rsid w:val="00E35E77"/>
    <w:rsid w:val="00E36C54"/>
    <w:rsid w:val="00E37545"/>
    <w:rsid w:val="00E3799F"/>
    <w:rsid w:val="00E37A8A"/>
    <w:rsid w:val="00E4019A"/>
    <w:rsid w:val="00E4069F"/>
    <w:rsid w:val="00E40CA1"/>
    <w:rsid w:val="00E41459"/>
    <w:rsid w:val="00E4150D"/>
    <w:rsid w:val="00E41D90"/>
    <w:rsid w:val="00E42371"/>
    <w:rsid w:val="00E42FCF"/>
    <w:rsid w:val="00E43A12"/>
    <w:rsid w:val="00E43CD8"/>
    <w:rsid w:val="00E45390"/>
    <w:rsid w:val="00E45CF4"/>
    <w:rsid w:val="00E45E1B"/>
    <w:rsid w:val="00E467D4"/>
    <w:rsid w:val="00E46BE9"/>
    <w:rsid w:val="00E4784E"/>
    <w:rsid w:val="00E47893"/>
    <w:rsid w:val="00E47D64"/>
    <w:rsid w:val="00E503E8"/>
    <w:rsid w:val="00E5085B"/>
    <w:rsid w:val="00E50BF0"/>
    <w:rsid w:val="00E51DE7"/>
    <w:rsid w:val="00E52334"/>
    <w:rsid w:val="00E55008"/>
    <w:rsid w:val="00E55DA2"/>
    <w:rsid w:val="00E57D4F"/>
    <w:rsid w:val="00E57DAF"/>
    <w:rsid w:val="00E600E9"/>
    <w:rsid w:val="00E61AF6"/>
    <w:rsid w:val="00E6206B"/>
    <w:rsid w:val="00E62452"/>
    <w:rsid w:val="00E64A5C"/>
    <w:rsid w:val="00E64D23"/>
    <w:rsid w:val="00E665CA"/>
    <w:rsid w:val="00E66E07"/>
    <w:rsid w:val="00E67060"/>
    <w:rsid w:val="00E67909"/>
    <w:rsid w:val="00E67A1E"/>
    <w:rsid w:val="00E67C2B"/>
    <w:rsid w:val="00E70976"/>
    <w:rsid w:val="00E71150"/>
    <w:rsid w:val="00E71630"/>
    <w:rsid w:val="00E7174C"/>
    <w:rsid w:val="00E7287E"/>
    <w:rsid w:val="00E739FB"/>
    <w:rsid w:val="00E739FF"/>
    <w:rsid w:val="00E74EBF"/>
    <w:rsid w:val="00E75352"/>
    <w:rsid w:val="00E76C74"/>
    <w:rsid w:val="00E76CC9"/>
    <w:rsid w:val="00E76D65"/>
    <w:rsid w:val="00E76F13"/>
    <w:rsid w:val="00E77610"/>
    <w:rsid w:val="00E80178"/>
    <w:rsid w:val="00E80406"/>
    <w:rsid w:val="00E804EA"/>
    <w:rsid w:val="00E80969"/>
    <w:rsid w:val="00E8105D"/>
    <w:rsid w:val="00E812C4"/>
    <w:rsid w:val="00E8373B"/>
    <w:rsid w:val="00E85591"/>
    <w:rsid w:val="00E8582E"/>
    <w:rsid w:val="00E85854"/>
    <w:rsid w:val="00E85CB7"/>
    <w:rsid w:val="00E869F4"/>
    <w:rsid w:val="00E871D6"/>
    <w:rsid w:val="00E87D0A"/>
    <w:rsid w:val="00E87FAC"/>
    <w:rsid w:val="00E91532"/>
    <w:rsid w:val="00E91A5A"/>
    <w:rsid w:val="00E92380"/>
    <w:rsid w:val="00E925B6"/>
    <w:rsid w:val="00E93FF2"/>
    <w:rsid w:val="00E94406"/>
    <w:rsid w:val="00E95C9B"/>
    <w:rsid w:val="00E95EFF"/>
    <w:rsid w:val="00E962B8"/>
    <w:rsid w:val="00E9783C"/>
    <w:rsid w:val="00E97F53"/>
    <w:rsid w:val="00EA04AE"/>
    <w:rsid w:val="00EA235E"/>
    <w:rsid w:val="00EA28E4"/>
    <w:rsid w:val="00EA3485"/>
    <w:rsid w:val="00EA3D2A"/>
    <w:rsid w:val="00EA3D99"/>
    <w:rsid w:val="00EA49E5"/>
    <w:rsid w:val="00EA53E1"/>
    <w:rsid w:val="00EA5573"/>
    <w:rsid w:val="00EA5C9B"/>
    <w:rsid w:val="00EA5CB0"/>
    <w:rsid w:val="00EA5E42"/>
    <w:rsid w:val="00EA6853"/>
    <w:rsid w:val="00EA729C"/>
    <w:rsid w:val="00EA7490"/>
    <w:rsid w:val="00EA7601"/>
    <w:rsid w:val="00EA7ACC"/>
    <w:rsid w:val="00EA7D74"/>
    <w:rsid w:val="00EB0193"/>
    <w:rsid w:val="00EB1E6C"/>
    <w:rsid w:val="00EB2099"/>
    <w:rsid w:val="00EB27F4"/>
    <w:rsid w:val="00EB2923"/>
    <w:rsid w:val="00EB2F20"/>
    <w:rsid w:val="00EB36ED"/>
    <w:rsid w:val="00EB3B14"/>
    <w:rsid w:val="00EB45B3"/>
    <w:rsid w:val="00EB4958"/>
    <w:rsid w:val="00EB4C96"/>
    <w:rsid w:val="00EB4EB5"/>
    <w:rsid w:val="00EB56E9"/>
    <w:rsid w:val="00EB5AD2"/>
    <w:rsid w:val="00EB5B78"/>
    <w:rsid w:val="00EB7F52"/>
    <w:rsid w:val="00EC0599"/>
    <w:rsid w:val="00EC0DF3"/>
    <w:rsid w:val="00EC1708"/>
    <w:rsid w:val="00EC2850"/>
    <w:rsid w:val="00EC32B4"/>
    <w:rsid w:val="00EC3E15"/>
    <w:rsid w:val="00EC3E8B"/>
    <w:rsid w:val="00EC3FCD"/>
    <w:rsid w:val="00EC44CD"/>
    <w:rsid w:val="00EC62AD"/>
    <w:rsid w:val="00EC65C0"/>
    <w:rsid w:val="00EC65CB"/>
    <w:rsid w:val="00EC66ED"/>
    <w:rsid w:val="00EC6D95"/>
    <w:rsid w:val="00ED1141"/>
    <w:rsid w:val="00ED1DAB"/>
    <w:rsid w:val="00ED2C4A"/>
    <w:rsid w:val="00ED31EC"/>
    <w:rsid w:val="00ED3220"/>
    <w:rsid w:val="00ED3820"/>
    <w:rsid w:val="00ED4B1A"/>
    <w:rsid w:val="00ED4C9F"/>
    <w:rsid w:val="00ED6071"/>
    <w:rsid w:val="00ED6DC2"/>
    <w:rsid w:val="00ED74D9"/>
    <w:rsid w:val="00ED77CB"/>
    <w:rsid w:val="00ED7A7D"/>
    <w:rsid w:val="00EE0FE4"/>
    <w:rsid w:val="00EE15BD"/>
    <w:rsid w:val="00EE1C2D"/>
    <w:rsid w:val="00EE1DF5"/>
    <w:rsid w:val="00EE3751"/>
    <w:rsid w:val="00EE4A5C"/>
    <w:rsid w:val="00EE4EED"/>
    <w:rsid w:val="00EE512F"/>
    <w:rsid w:val="00EE7562"/>
    <w:rsid w:val="00EE7776"/>
    <w:rsid w:val="00EF0429"/>
    <w:rsid w:val="00EF2A5B"/>
    <w:rsid w:val="00EF2E32"/>
    <w:rsid w:val="00EF3537"/>
    <w:rsid w:val="00EF4B6E"/>
    <w:rsid w:val="00EF624A"/>
    <w:rsid w:val="00EF7795"/>
    <w:rsid w:val="00EF7ADF"/>
    <w:rsid w:val="00F00031"/>
    <w:rsid w:val="00F0082D"/>
    <w:rsid w:val="00F00ECD"/>
    <w:rsid w:val="00F00F73"/>
    <w:rsid w:val="00F013FC"/>
    <w:rsid w:val="00F0140B"/>
    <w:rsid w:val="00F01CD4"/>
    <w:rsid w:val="00F02197"/>
    <w:rsid w:val="00F026EA"/>
    <w:rsid w:val="00F03197"/>
    <w:rsid w:val="00F0338A"/>
    <w:rsid w:val="00F0357B"/>
    <w:rsid w:val="00F043C9"/>
    <w:rsid w:val="00F04B3D"/>
    <w:rsid w:val="00F04C38"/>
    <w:rsid w:val="00F050CE"/>
    <w:rsid w:val="00F051F3"/>
    <w:rsid w:val="00F05673"/>
    <w:rsid w:val="00F05EBA"/>
    <w:rsid w:val="00F0607C"/>
    <w:rsid w:val="00F06605"/>
    <w:rsid w:val="00F073FE"/>
    <w:rsid w:val="00F0741C"/>
    <w:rsid w:val="00F101CA"/>
    <w:rsid w:val="00F107BE"/>
    <w:rsid w:val="00F10D31"/>
    <w:rsid w:val="00F10E8B"/>
    <w:rsid w:val="00F11453"/>
    <w:rsid w:val="00F11BE3"/>
    <w:rsid w:val="00F11E02"/>
    <w:rsid w:val="00F11E15"/>
    <w:rsid w:val="00F1264C"/>
    <w:rsid w:val="00F127E2"/>
    <w:rsid w:val="00F12DD6"/>
    <w:rsid w:val="00F13935"/>
    <w:rsid w:val="00F15178"/>
    <w:rsid w:val="00F15550"/>
    <w:rsid w:val="00F15A1E"/>
    <w:rsid w:val="00F15B78"/>
    <w:rsid w:val="00F15D44"/>
    <w:rsid w:val="00F1640D"/>
    <w:rsid w:val="00F16BA3"/>
    <w:rsid w:val="00F17382"/>
    <w:rsid w:val="00F17DB7"/>
    <w:rsid w:val="00F201B5"/>
    <w:rsid w:val="00F215F8"/>
    <w:rsid w:val="00F21E60"/>
    <w:rsid w:val="00F22146"/>
    <w:rsid w:val="00F222CE"/>
    <w:rsid w:val="00F22AE1"/>
    <w:rsid w:val="00F22CC4"/>
    <w:rsid w:val="00F23439"/>
    <w:rsid w:val="00F23E7F"/>
    <w:rsid w:val="00F24EB7"/>
    <w:rsid w:val="00F25290"/>
    <w:rsid w:val="00F25B5A"/>
    <w:rsid w:val="00F30287"/>
    <w:rsid w:val="00F30A5E"/>
    <w:rsid w:val="00F31452"/>
    <w:rsid w:val="00F31816"/>
    <w:rsid w:val="00F31959"/>
    <w:rsid w:val="00F32640"/>
    <w:rsid w:val="00F32959"/>
    <w:rsid w:val="00F34C42"/>
    <w:rsid w:val="00F358AA"/>
    <w:rsid w:val="00F36477"/>
    <w:rsid w:val="00F36F53"/>
    <w:rsid w:val="00F37175"/>
    <w:rsid w:val="00F37299"/>
    <w:rsid w:val="00F3736C"/>
    <w:rsid w:val="00F37B23"/>
    <w:rsid w:val="00F4046D"/>
    <w:rsid w:val="00F40744"/>
    <w:rsid w:val="00F40E58"/>
    <w:rsid w:val="00F42E32"/>
    <w:rsid w:val="00F446C8"/>
    <w:rsid w:val="00F45B10"/>
    <w:rsid w:val="00F45C22"/>
    <w:rsid w:val="00F45D78"/>
    <w:rsid w:val="00F46CCD"/>
    <w:rsid w:val="00F479C8"/>
    <w:rsid w:val="00F47AEB"/>
    <w:rsid w:val="00F47F25"/>
    <w:rsid w:val="00F5216A"/>
    <w:rsid w:val="00F5252C"/>
    <w:rsid w:val="00F534B9"/>
    <w:rsid w:val="00F535B2"/>
    <w:rsid w:val="00F535C3"/>
    <w:rsid w:val="00F539E7"/>
    <w:rsid w:val="00F5478E"/>
    <w:rsid w:val="00F562E5"/>
    <w:rsid w:val="00F567F4"/>
    <w:rsid w:val="00F56ED1"/>
    <w:rsid w:val="00F62613"/>
    <w:rsid w:val="00F6338D"/>
    <w:rsid w:val="00F64E68"/>
    <w:rsid w:val="00F64F54"/>
    <w:rsid w:val="00F658F2"/>
    <w:rsid w:val="00F661AA"/>
    <w:rsid w:val="00F66432"/>
    <w:rsid w:val="00F66819"/>
    <w:rsid w:val="00F66A60"/>
    <w:rsid w:val="00F66AB1"/>
    <w:rsid w:val="00F66FA3"/>
    <w:rsid w:val="00F6793B"/>
    <w:rsid w:val="00F67ACD"/>
    <w:rsid w:val="00F703C1"/>
    <w:rsid w:val="00F71868"/>
    <w:rsid w:val="00F72143"/>
    <w:rsid w:val="00F72399"/>
    <w:rsid w:val="00F727DB"/>
    <w:rsid w:val="00F73AA0"/>
    <w:rsid w:val="00F7479F"/>
    <w:rsid w:val="00F74D8D"/>
    <w:rsid w:val="00F81382"/>
    <w:rsid w:val="00F81514"/>
    <w:rsid w:val="00F81BB1"/>
    <w:rsid w:val="00F8244F"/>
    <w:rsid w:val="00F8263E"/>
    <w:rsid w:val="00F82C87"/>
    <w:rsid w:val="00F83104"/>
    <w:rsid w:val="00F83843"/>
    <w:rsid w:val="00F844AF"/>
    <w:rsid w:val="00F852FE"/>
    <w:rsid w:val="00F85F9C"/>
    <w:rsid w:val="00F86101"/>
    <w:rsid w:val="00F86918"/>
    <w:rsid w:val="00F86EF7"/>
    <w:rsid w:val="00F8794B"/>
    <w:rsid w:val="00F906DA"/>
    <w:rsid w:val="00F9205A"/>
    <w:rsid w:val="00F923E6"/>
    <w:rsid w:val="00F926E2"/>
    <w:rsid w:val="00F9283C"/>
    <w:rsid w:val="00F95774"/>
    <w:rsid w:val="00F96262"/>
    <w:rsid w:val="00F96739"/>
    <w:rsid w:val="00F97004"/>
    <w:rsid w:val="00F97852"/>
    <w:rsid w:val="00F97F22"/>
    <w:rsid w:val="00FA0B54"/>
    <w:rsid w:val="00FA0D3B"/>
    <w:rsid w:val="00FA230C"/>
    <w:rsid w:val="00FA3888"/>
    <w:rsid w:val="00FA525F"/>
    <w:rsid w:val="00FA5671"/>
    <w:rsid w:val="00FA62A2"/>
    <w:rsid w:val="00FA7DE4"/>
    <w:rsid w:val="00FA7EA0"/>
    <w:rsid w:val="00FB10BC"/>
    <w:rsid w:val="00FB23D7"/>
    <w:rsid w:val="00FB486C"/>
    <w:rsid w:val="00FB5531"/>
    <w:rsid w:val="00FB5932"/>
    <w:rsid w:val="00FB717C"/>
    <w:rsid w:val="00FB7D53"/>
    <w:rsid w:val="00FC0922"/>
    <w:rsid w:val="00FC2E51"/>
    <w:rsid w:val="00FC2E57"/>
    <w:rsid w:val="00FC3821"/>
    <w:rsid w:val="00FC4225"/>
    <w:rsid w:val="00FC4922"/>
    <w:rsid w:val="00FC4FB1"/>
    <w:rsid w:val="00FC4FB8"/>
    <w:rsid w:val="00FC7668"/>
    <w:rsid w:val="00FC7852"/>
    <w:rsid w:val="00FC7F72"/>
    <w:rsid w:val="00FD0EF0"/>
    <w:rsid w:val="00FD1302"/>
    <w:rsid w:val="00FD18DF"/>
    <w:rsid w:val="00FD1FEE"/>
    <w:rsid w:val="00FD34A0"/>
    <w:rsid w:val="00FD3960"/>
    <w:rsid w:val="00FD3AE7"/>
    <w:rsid w:val="00FD697B"/>
    <w:rsid w:val="00FE083C"/>
    <w:rsid w:val="00FE1E61"/>
    <w:rsid w:val="00FE5563"/>
    <w:rsid w:val="00FE69FA"/>
    <w:rsid w:val="00FE6B19"/>
    <w:rsid w:val="00FE7852"/>
    <w:rsid w:val="00FF072B"/>
    <w:rsid w:val="00FF1701"/>
    <w:rsid w:val="00FF27E6"/>
    <w:rsid w:val="00FF2ACE"/>
    <w:rsid w:val="00FF2E7C"/>
    <w:rsid w:val="00FF38FC"/>
    <w:rsid w:val="00FF3B48"/>
    <w:rsid w:val="00FF47B5"/>
    <w:rsid w:val="00FF49E3"/>
    <w:rsid w:val="00FF4FB4"/>
    <w:rsid w:val="00FF511C"/>
    <w:rsid w:val="00FF5571"/>
    <w:rsid w:val="00FF5B56"/>
    <w:rsid w:val="00FF68D2"/>
    <w:rsid w:val="00FF693B"/>
    <w:rsid w:val="012B3ED2"/>
    <w:rsid w:val="013649DF"/>
    <w:rsid w:val="017B4707"/>
    <w:rsid w:val="018757E9"/>
    <w:rsid w:val="01B60422"/>
    <w:rsid w:val="02166BE0"/>
    <w:rsid w:val="02262574"/>
    <w:rsid w:val="022A7DD4"/>
    <w:rsid w:val="022B1F1F"/>
    <w:rsid w:val="025E250B"/>
    <w:rsid w:val="02613524"/>
    <w:rsid w:val="02AD59C2"/>
    <w:rsid w:val="02B3062C"/>
    <w:rsid w:val="02B502AA"/>
    <w:rsid w:val="0326450F"/>
    <w:rsid w:val="035E55CE"/>
    <w:rsid w:val="036A6AA8"/>
    <w:rsid w:val="037151C2"/>
    <w:rsid w:val="039722C7"/>
    <w:rsid w:val="03E30F8D"/>
    <w:rsid w:val="03F06941"/>
    <w:rsid w:val="043E401B"/>
    <w:rsid w:val="047C197E"/>
    <w:rsid w:val="04814BEB"/>
    <w:rsid w:val="04B04934"/>
    <w:rsid w:val="04F0739F"/>
    <w:rsid w:val="05044F02"/>
    <w:rsid w:val="050B2265"/>
    <w:rsid w:val="05CC1FC1"/>
    <w:rsid w:val="06292E67"/>
    <w:rsid w:val="06541B81"/>
    <w:rsid w:val="06641B47"/>
    <w:rsid w:val="067B595A"/>
    <w:rsid w:val="06883D42"/>
    <w:rsid w:val="068F7A14"/>
    <w:rsid w:val="06987719"/>
    <w:rsid w:val="06A03218"/>
    <w:rsid w:val="06AB12E1"/>
    <w:rsid w:val="07366A4C"/>
    <w:rsid w:val="078750B1"/>
    <w:rsid w:val="07975AED"/>
    <w:rsid w:val="07A3473F"/>
    <w:rsid w:val="07C363AD"/>
    <w:rsid w:val="07C638DE"/>
    <w:rsid w:val="07CF0435"/>
    <w:rsid w:val="07FF1FDC"/>
    <w:rsid w:val="08051FBB"/>
    <w:rsid w:val="08052843"/>
    <w:rsid w:val="081A6085"/>
    <w:rsid w:val="082C1727"/>
    <w:rsid w:val="086A13F1"/>
    <w:rsid w:val="088E44F5"/>
    <w:rsid w:val="09B3300A"/>
    <w:rsid w:val="09D35761"/>
    <w:rsid w:val="09D958FE"/>
    <w:rsid w:val="09E71B8E"/>
    <w:rsid w:val="09E7406F"/>
    <w:rsid w:val="09F40D3F"/>
    <w:rsid w:val="0A6A5E73"/>
    <w:rsid w:val="0A7E642F"/>
    <w:rsid w:val="0AA13DB9"/>
    <w:rsid w:val="0AC92D1D"/>
    <w:rsid w:val="0AFD1C14"/>
    <w:rsid w:val="0B0E0915"/>
    <w:rsid w:val="0B3009AE"/>
    <w:rsid w:val="0B461259"/>
    <w:rsid w:val="0B4D72CB"/>
    <w:rsid w:val="0B7E5BD2"/>
    <w:rsid w:val="0BD9685A"/>
    <w:rsid w:val="0BDA7725"/>
    <w:rsid w:val="0C07128B"/>
    <w:rsid w:val="0C612FE7"/>
    <w:rsid w:val="0C7E062C"/>
    <w:rsid w:val="0C8C2AC7"/>
    <w:rsid w:val="0C8E573B"/>
    <w:rsid w:val="0CA26D88"/>
    <w:rsid w:val="0CD522A9"/>
    <w:rsid w:val="0CE1113C"/>
    <w:rsid w:val="0CE447FB"/>
    <w:rsid w:val="0D0C78F9"/>
    <w:rsid w:val="0D217643"/>
    <w:rsid w:val="0D387BB4"/>
    <w:rsid w:val="0D3F3C0C"/>
    <w:rsid w:val="0D7639A7"/>
    <w:rsid w:val="0D7A10C1"/>
    <w:rsid w:val="0D7E6227"/>
    <w:rsid w:val="0D8A7BCF"/>
    <w:rsid w:val="0D91403C"/>
    <w:rsid w:val="0DB35119"/>
    <w:rsid w:val="0DB94F93"/>
    <w:rsid w:val="0DF2569D"/>
    <w:rsid w:val="0E294F19"/>
    <w:rsid w:val="0E2E66FC"/>
    <w:rsid w:val="0E6E46C3"/>
    <w:rsid w:val="0E8204CE"/>
    <w:rsid w:val="0E9E3F09"/>
    <w:rsid w:val="0EB53714"/>
    <w:rsid w:val="0EDD11F7"/>
    <w:rsid w:val="0EFD4BCD"/>
    <w:rsid w:val="0F536D18"/>
    <w:rsid w:val="0F767310"/>
    <w:rsid w:val="0F7B3BEB"/>
    <w:rsid w:val="0FA52053"/>
    <w:rsid w:val="0FEF3272"/>
    <w:rsid w:val="0FF1537A"/>
    <w:rsid w:val="10775B4F"/>
    <w:rsid w:val="10B953ED"/>
    <w:rsid w:val="10CE6F12"/>
    <w:rsid w:val="10F24FDC"/>
    <w:rsid w:val="11091A5B"/>
    <w:rsid w:val="110F7AC5"/>
    <w:rsid w:val="112B7BB2"/>
    <w:rsid w:val="114E6FDB"/>
    <w:rsid w:val="11D82E05"/>
    <w:rsid w:val="11E57B75"/>
    <w:rsid w:val="11FE036B"/>
    <w:rsid w:val="121431E6"/>
    <w:rsid w:val="125471FB"/>
    <w:rsid w:val="12FC60B0"/>
    <w:rsid w:val="13082780"/>
    <w:rsid w:val="1353602D"/>
    <w:rsid w:val="135A1681"/>
    <w:rsid w:val="1368269C"/>
    <w:rsid w:val="13D52A99"/>
    <w:rsid w:val="13DF2309"/>
    <w:rsid w:val="141C7356"/>
    <w:rsid w:val="142D02B0"/>
    <w:rsid w:val="1440049F"/>
    <w:rsid w:val="146467EB"/>
    <w:rsid w:val="148E1F3B"/>
    <w:rsid w:val="14C66D82"/>
    <w:rsid w:val="14CD3DA7"/>
    <w:rsid w:val="14F41672"/>
    <w:rsid w:val="150B6344"/>
    <w:rsid w:val="15250462"/>
    <w:rsid w:val="152D2FAE"/>
    <w:rsid w:val="152E388F"/>
    <w:rsid w:val="15A26C7D"/>
    <w:rsid w:val="15A60922"/>
    <w:rsid w:val="15BA0920"/>
    <w:rsid w:val="15E166B1"/>
    <w:rsid w:val="16264DCE"/>
    <w:rsid w:val="16557182"/>
    <w:rsid w:val="16584205"/>
    <w:rsid w:val="1658516B"/>
    <w:rsid w:val="16A64B0A"/>
    <w:rsid w:val="16AD3B90"/>
    <w:rsid w:val="16C051A0"/>
    <w:rsid w:val="16CE76E1"/>
    <w:rsid w:val="16F81E02"/>
    <w:rsid w:val="170C4930"/>
    <w:rsid w:val="172130AF"/>
    <w:rsid w:val="17255844"/>
    <w:rsid w:val="17307438"/>
    <w:rsid w:val="174B6A2E"/>
    <w:rsid w:val="17985BD8"/>
    <w:rsid w:val="179D1651"/>
    <w:rsid w:val="17C6620C"/>
    <w:rsid w:val="18500D31"/>
    <w:rsid w:val="18981B91"/>
    <w:rsid w:val="18B55668"/>
    <w:rsid w:val="18F279DC"/>
    <w:rsid w:val="19190D92"/>
    <w:rsid w:val="19217607"/>
    <w:rsid w:val="193813CB"/>
    <w:rsid w:val="19592814"/>
    <w:rsid w:val="19794CB4"/>
    <w:rsid w:val="19807913"/>
    <w:rsid w:val="19AC2A73"/>
    <w:rsid w:val="19F30969"/>
    <w:rsid w:val="1A0E3BC7"/>
    <w:rsid w:val="1A5A7F84"/>
    <w:rsid w:val="1A9776E9"/>
    <w:rsid w:val="1AA72680"/>
    <w:rsid w:val="1B1B5A16"/>
    <w:rsid w:val="1B2047D8"/>
    <w:rsid w:val="1B221F55"/>
    <w:rsid w:val="1B457069"/>
    <w:rsid w:val="1B6908C2"/>
    <w:rsid w:val="1B7139BB"/>
    <w:rsid w:val="1B8C6C34"/>
    <w:rsid w:val="1C2D446D"/>
    <w:rsid w:val="1C4760AF"/>
    <w:rsid w:val="1C485623"/>
    <w:rsid w:val="1C4A455D"/>
    <w:rsid w:val="1C5D2365"/>
    <w:rsid w:val="1C72483E"/>
    <w:rsid w:val="1CB8741A"/>
    <w:rsid w:val="1CD64208"/>
    <w:rsid w:val="1CE25024"/>
    <w:rsid w:val="1D29030F"/>
    <w:rsid w:val="1D3507DC"/>
    <w:rsid w:val="1D485C10"/>
    <w:rsid w:val="1D6C1408"/>
    <w:rsid w:val="1D883744"/>
    <w:rsid w:val="1DA96489"/>
    <w:rsid w:val="1DB528C1"/>
    <w:rsid w:val="1DBB2839"/>
    <w:rsid w:val="1DDF380E"/>
    <w:rsid w:val="1E0D32F3"/>
    <w:rsid w:val="1E352516"/>
    <w:rsid w:val="1E356303"/>
    <w:rsid w:val="1E3F12B0"/>
    <w:rsid w:val="1EBA2072"/>
    <w:rsid w:val="1ED5417D"/>
    <w:rsid w:val="1EE95A9E"/>
    <w:rsid w:val="1EEC3AB7"/>
    <w:rsid w:val="1EF726AB"/>
    <w:rsid w:val="1F52202E"/>
    <w:rsid w:val="1FD50EEF"/>
    <w:rsid w:val="1FEF3ACC"/>
    <w:rsid w:val="20201F6A"/>
    <w:rsid w:val="2045204A"/>
    <w:rsid w:val="20AD2FA5"/>
    <w:rsid w:val="20B80A36"/>
    <w:rsid w:val="20E030C5"/>
    <w:rsid w:val="211D12F5"/>
    <w:rsid w:val="21377F9E"/>
    <w:rsid w:val="21547C2D"/>
    <w:rsid w:val="21872971"/>
    <w:rsid w:val="21987902"/>
    <w:rsid w:val="21A64C34"/>
    <w:rsid w:val="21AD4364"/>
    <w:rsid w:val="21E77B73"/>
    <w:rsid w:val="21FC2D9B"/>
    <w:rsid w:val="221409CD"/>
    <w:rsid w:val="222B7880"/>
    <w:rsid w:val="223C61DE"/>
    <w:rsid w:val="22BE6B58"/>
    <w:rsid w:val="22C77AF4"/>
    <w:rsid w:val="22FB2931"/>
    <w:rsid w:val="23082246"/>
    <w:rsid w:val="231518BE"/>
    <w:rsid w:val="23596BFE"/>
    <w:rsid w:val="23665FAA"/>
    <w:rsid w:val="23813EF7"/>
    <w:rsid w:val="23921D81"/>
    <w:rsid w:val="23BC24DE"/>
    <w:rsid w:val="23C37574"/>
    <w:rsid w:val="23F11981"/>
    <w:rsid w:val="241558F6"/>
    <w:rsid w:val="241F5387"/>
    <w:rsid w:val="243323BC"/>
    <w:rsid w:val="24911EFD"/>
    <w:rsid w:val="249E4FD0"/>
    <w:rsid w:val="24A05B81"/>
    <w:rsid w:val="24AB7609"/>
    <w:rsid w:val="24C504A7"/>
    <w:rsid w:val="24D1572E"/>
    <w:rsid w:val="251C0606"/>
    <w:rsid w:val="25460AD7"/>
    <w:rsid w:val="255C4A93"/>
    <w:rsid w:val="25851AB6"/>
    <w:rsid w:val="258912D6"/>
    <w:rsid w:val="259E7ABE"/>
    <w:rsid w:val="25A01518"/>
    <w:rsid w:val="25B20551"/>
    <w:rsid w:val="25B853CC"/>
    <w:rsid w:val="25CC7C85"/>
    <w:rsid w:val="25E470BA"/>
    <w:rsid w:val="261A1866"/>
    <w:rsid w:val="26230FA0"/>
    <w:rsid w:val="268256CE"/>
    <w:rsid w:val="2691365E"/>
    <w:rsid w:val="26BE64D3"/>
    <w:rsid w:val="26C235E1"/>
    <w:rsid w:val="27044EEB"/>
    <w:rsid w:val="270E5434"/>
    <w:rsid w:val="272101EE"/>
    <w:rsid w:val="27420F1A"/>
    <w:rsid w:val="27AE6D70"/>
    <w:rsid w:val="27C50672"/>
    <w:rsid w:val="27E30EA7"/>
    <w:rsid w:val="27F801D5"/>
    <w:rsid w:val="27F9180E"/>
    <w:rsid w:val="28055478"/>
    <w:rsid w:val="2817209B"/>
    <w:rsid w:val="283B2C04"/>
    <w:rsid w:val="285751C1"/>
    <w:rsid w:val="28693075"/>
    <w:rsid w:val="28703325"/>
    <w:rsid w:val="287715D2"/>
    <w:rsid w:val="287A24D3"/>
    <w:rsid w:val="28821D60"/>
    <w:rsid w:val="28827E4D"/>
    <w:rsid w:val="28B06947"/>
    <w:rsid w:val="28B41943"/>
    <w:rsid w:val="29115DDD"/>
    <w:rsid w:val="29225B4A"/>
    <w:rsid w:val="29683727"/>
    <w:rsid w:val="29A07568"/>
    <w:rsid w:val="29CF628C"/>
    <w:rsid w:val="2A1D1F00"/>
    <w:rsid w:val="2A642161"/>
    <w:rsid w:val="2A833879"/>
    <w:rsid w:val="2A853FF3"/>
    <w:rsid w:val="2ABB7CB0"/>
    <w:rsid w:val="2AC4731D"/>
    <w:rsid w:val="2ACC4DBD"/>
    <w:rsid w:val="2AE33F6B"/>
    <w:rsid w:val="2AFA2389"/>
    <w:rsid w:val="2B0707BB"/>
    <w:rsid w:val="2B0A2EFF"/>
    <w:rsid w:val="2B4F3D3B"/>
    <w:rsid w:val="2B8859AF"/>
    <w:rsid w:val="2C304BB9"/>
    <w:rsid w:val="2C407250"/>
    <w:rsid w:val="2C4C7955"/>
    <w:rsid w:val="2C7349BA"/>
    <w:rsid w:val="2C854CCB"/>
    <w:rsid w:val="2C9A7991"/>
    <w:rsid w:val="2CBC0833"/>
    <w:rsid w:val="2CF746D9"/>
    <w:rsid w:val="2D0357CD"/>
    <w:rsid w:val="2D401349"/>
    <w:rsid w:val="2D7278DE"/>
    <w:rsid w:val="2D814892"/>
    <w:rsid w:val="2D8967AF"/>
    <w:rsid w:val="2DAC2751"/>
    <w:rsid w:val="2DAD570F"/>
    <w:rsid w:val="2DAF3289"/>
    <w:rsid w:val="2DC634DD"/>
    <w:rsid w:val="2DF05C10"/>
    <w:rsid w:val="2DF06947"/>
    <w:rsid w:val="2E070A5B"/>
    <w:rsid w:val="2E0A6A90"/>
    <w:rsid w:val="2E112C00"/>
    <w:rsid w:val="2E510AD7"/>
    <w:rsid w:val="2E5F0111"/>
    <w:rsid w:val="2EE63657"/>
    <w:rsid w:val="2EF05E51"/>
    <w:rsid w:val="2EFD041D"/>
    <w:rsid w:val="2F294DF4"/>
    <w:rsid w:val="2F4F2C33"/>
    <w:rsid w:val="2F575414"/>
    <w:rsid w:val="2F6B2D06"/>
    <w:rsid w:val="2F775C6C"/>
    <w:rsid w:val="2F875787"/>
    <w:rsid w:val="2F893353"/>
    <w:rsid w:val="2F8C003C"/>
    <w:rsid w:val="2FA9610E"/>
    <w:rsid w:val="2FB61208"/>
    <w:rsid w:val="2FE45E3E"/>
    <w:rsid w:val="2FF04BE7"/>
    <w:rsid w:val="30012A65"/>
    <w:rsid w:val="3056620E"/>
    <w:rsid w:val="30793BA9"/>
    <w:rsid w:val="309237B1"/>
    <w:rsid w:val="30B506EF"/>
    <w:rsid w:val="31645EC9"/>
    <w:rsid w:val="316E31FC"/>
    <w:rsid w:val="31B6751D"/>
    <w:rsid w:val="31C21A8B"/>
    <w:rsid w:val="32061C67"/>
    <w:rsid w:val="321068F9"/>
    <w:rsid w:val="32147664"/>
    <w:rsid w:val="32341134"/>
    <w:rsid w:val="325768D1"/>
    <w:rsid w:val="326915E4"/>
    <w:rsid w:val="32707086"/>
    <w:rsid w:val="32A36800"/>
    <w:rsid w:val="32B1759E"/>
    <w:rsid w:val="33001FE9"/>
    <w:rsid w:val="333A3FB3"/>
    <w:rsid w:val="33567F04"/>
    <w:rsid w:val="33645241"/>
    <w:rsid w:val="33855B1A"/>
    <w:rsid w:val="339E6932"/>
    <w:rsid w:val="33D26B2F"/>
    <w:rsid w:val="34152C45"/>
    <w:rsid w:val="34483A67"/>
    <w:rsid w:val="3467339C"/>
    <w:rsid w:val="347F1247"/>
    <w:rsid w:val="349675B4"/>
    <w:rsid w:val="34C47D61"/>
    <w:rsid w:val="34EC5B2D"/>
    <w:rsid w:val="350569CC"/>
    <w:rsid w:val="351F56DF"/>
    <w:rsid w:val="3532019B"/>
    <w:rsid w:val="35371AE9"/>
    <w:rsid w:val="35493701"/>
    <w:rsid w:val="355B332E"/>
    <w:rsid w:val="356F4916"/>
    <w:rsid w:val="357A61AA"/>
    <w:rsid w:val="35A20820"/>
    <w:rsid w:val="35AE2D75"/>
    <w:rsid w:val="363B4721"/>
    <w:rsid w:val="364D6A49"/>
    <w:rsid w:val="36774DC3"/>
    <w:rsid w:val="368E165F"/>
    <w:rsid w:val="36F57368"/>
    <w:rsid w:val="374F0980"/>
    <w:rsid w:val="377E67D1"/>
    <w:rsid w:val="37C22090"/>
    <w:rsid w:val="38233929"/>
    <w:rsid w:val="382817E9"/>
    <w:rsid w:val="3833198B"/>
    <w:rsid w:val="384E2D37"/>
    <w:rsid w:val="38E17A31"/>
    <w:rsid w:val="38F00517"/>
    <w:rsid w:val="39131156"/>
    <w:rsid w:val="391734C4"/>
    <w:rsid w:val="39245F0E"/>
    <w:rsid w:val="39670DD0"/>
    <w:rsid w:val="396E100E"/>
    <w:rsid w:val="398B7E78"/>
    <w:rsid w:val="39B13BAC"/>
    <w:rsid w:val="39C9165F"/>
    <w:rsid w:val="39F32C0F"/>
    <w:rsid w:val="3A0310E7"/>
    <w:rsid w:val="3A3A2472"/>
    <w:rsid w:val="3A454D9D"/>
    <w:rsid w:val="3A6D62C6"/>
    <w:rsid w:val="3A7F7BA3"/>
    <w:rsid w:val="3A924365"/>
    <w:rsid w:val="3AC76FB9"/>
    <w:rsid w:val="3AF60307"/>
    <w:rsid w:val="3B091149"/>
    <w:rsid w:val="3B11626A"/>
    <w:rsid w:val="3B605307"/>
    <w:rsid w:val="3B731208"/>
    <w:rsid w:val="3B8C375D"/>
    <w:rsid w:val="3BB85EEB"/>
    <w:rsid w:val="3BCE7A71"/>
    <w:rsid w:val="3BE04EFF"/>
    <w:rsid w:val="3C0675D9"/>
    <w:rsid w:val="3C2A48D8"/>
    <w:rsid w:val="3C306FCE"/>
    <w:rsid w:val="3C5E74B6"/>
    <w:rsid w:val="3C852F04"/>
    <w:rsid w:val="3C9A1322"/>
    <w:rsid w:val="3CB94C66"/>
    <w:rsid w:val="3CE55876"/>
    <w:rsid w:val="3CF152DF"/>
    <w:rsid w:val="3CFA77AB"/>
    <w:rsid w:val="3D72216D"/>
    <w:rsid w:val="3DA505D7"/>
    <w:rsid w:val="3DA94692"/>
    <w:rsid w:val="3DBC5D81"/>
    <w:rsid w:val="3DD17733"/>
    <w:rsid w:val="3E0E3010"/>
    <w:rsid w:val="3E123D86"/>
    <w:rsid w:val="3E244B07"/>
    <w:rsid w:val="3E4277B9"/>
    <w:rsid w:val="3E846B5E"/>
    <w:rsid w:val="3EB0023B"/>
    <w:rsid w:val="3EC4577F"/>
    <w:rsid w:val="3F530795"/>
    <w:rsid w:val="3FA709FB"/>
    <w:rsid w:val="403144D1"/>
    <w:rsid w:val="404621AE"/>
    <w:rsid w:val="40767BA4"/>
    <w:rsid w:val="40A661DB"/>
    <w:rsid w:val="40B66D5B"/>
    <w:rsid w:val="41020E8D"/>
    <w:rsid w:val="41304723"/>
    <w:rsid w:val="41594549"/>
    <w:rsid w:val="4196552E"/>
    <w:rsid w:val="422B6BDD"/>
    <w:rsid w:val="422E7110"/>
    <w:rsid w:val="423413D7"/>
    <w:rsid w:val="42392917"/>
    <w:rsid w:val="423B6F20"/>
    <w:rsid w:val="427D4D18"/>
    <w:rsid w:val="42883118"/>
    <w:rsid w:val="42D91183"/>
    <w:rsid w:val="42DA43CC"/>
    <w:rsid w:val="42FB1274"/>
    <w:rsid w:val="42FB661E"/>
    <w:rsid w:val="432451BB"/>
    <w:rsid w:val="435D28C3"/>
    <w:rsid w:val="437E726B"/>
    <w:rsid w:val="43B11EDB"/>
    <w:rsid w:val="43CD1ED4"/>
    <w:rsid w:val="443C1F90"/>
    <w:rsid w:val="446E3233"/>
    <w:rsid w:val="44B95739"/>
    <w:rsid w:val="45015C8D"/>
    <w:rsid w:val="455A6040"/>
    <w:rsid w:val="45872586"/>
    <w:rsid w:val="458F0247"/>
    <w:rsid w:val="45B739F8"/>
    <w:rsid w:val="45DC510C"/>
    <w:rsid w:val="45F961FC"/>
    <w:rsid w:val="460E261F"/>
    <w:rsid w:val="46167497"/>
    <w:rsid w:val="464448FA"/>
    <w:rsid w:val="46CC379C"/>
    <w:rsid w:val="47B17264"/>
    <w:rsid w:val="47B729CE"/>
    <w:rsid w:val="47C61081"/>
    <w:rsid w:val="48206B36"/>
    <w:rsid w:val="483454DB"/>
    <w:rsid w:val="48455ACF"/>
    <w:rsid w:val="48477B13"/>
    <w:rsid w:val="484F4032"/>
    <w:rsid w:val="488A20D4"/>
    <w:rsid w:val="48BE027C"/>
    <w:rsid w:val="48D12DF1"/>
    <w:rsid w:val="48D373C2"/>
    <w:rsid w:val="48F71D3B"/>
    <w:rsid w:val="49743F37"/>
    <w:rsid w:val="497B5564"/>
    <w:rsid w:val="499022E3"/>
    <w:rsid w:val="49AA25A8"/>
    <w:rsid w:val="49DA372C"/>
    <w:rsid w:val="49EE18F3"/>
    <w:rsid w:val="4AC8332D"/>
    <w:rsid w:val="4AE769D8"/>
    <w:rsid w:val="4AEF3303"/>
    <w:rsid w:val="4B160ABB"/>
    <w:rsid w:val="4B220B15"/>
    <w:rsid w:val="4B4278E8"/>
    <w:rsid w:val="4B495522"/>
    <w:rsid w:val="4B996B03"/>
    <w:rsid w:val="4BAB10BB"/>
    <w:rsid w:val="4BBE5980"/>
    <w:rsid w:val="4C0F25D5"/>
    <w:rsid w:val="4C11145E"/>
    <w:rsid w:val="4C21350D"/>
    <w:rsid w:val="4C4D6B2A"/>
    <w:rsid w:val="4CAE1C92"/>
    <w:rsid w:val="4CB216DE"/>
    <w:rsid w:val="4CBC03AF"/>
    <w:rsid w:val="4CCA4F60"/>
    <w:rsid w:val="4CDE76A1"/>
    <w:rsid w:val="4CF836A7"/>
    <w:rsid w:val="4D205A72"/>
    <w:rsid w:val="4D35171A"/>
    <w:rsid w:val="4D3A0459"/>
    <w:rsid w:val="4D3B1694"/>
    <w:rsid w:val="4D4F4B9C"/>
    <w:rsid w:val="4D6702A2"/>
    <w:rsid w:val="4D697C5B"/>
    <w:rsid w:val="4DEC7605"/>
    <w:rsid w:val="4E2909A3"/>
    <w:rsid w:val="4E714EF1"/>
    <w:rsid w:val="4ED641AC"/>
    <w:rsid w:val="4EED6EB3"/>
    <w:rsid w:val="4F5F1524"/>
    <w:rsid w:val="4F6E5474"/>
    <w:rsid w:val="4F980BA2"/>
    <w:rsid w:val="4FCA33BF"/>
    <w:rsid w:val="4FE35E4C"/>
    <w:rsid w:val="5000300A"/>
    <w:rsid w:val="50127883"/>
    <w:rsid w:val="5052303A"/>
    <w:rsid w:val="505E1295"/>
    <w:rsid w:val="507E613C"/>
    <w:rsid w:val="50BB5281"/>
    <w:rsid w:val="50BD6D1E"/>
    <w:rsid w:val="50CC2D8B"/>
    <w:rsid w:val="50EB04F5"/>
    <w:rsid w:val="513A0CE1"/>
    <w:rsid w:val="51697604"/>
    <w:rsid w:val="516A7AE5"/>
    <w:rsid w:val="518B06DE"/>
    <w:rsid w:val="51E11DAE"/>
    <w:rsid w:val="52430B4D"/>
    <w:rsid w:val="52863E4E"/>
    <w:rsid w:val="52AC05F9"/>
    <w:rsid w:val="52CC6727"/>
    <w:rsid w:val="52F766AD"/>
    <w:rsid w:val="530124BF"/>
    <w:rsid w:val="530B13C0"/>
    <w:rsid w:val="53240A8C"/>
    <w:rsid w:val="537B313B"/>
    <w:rsid w:val="53901890"/>
    <w:rsid w:val="53AB016C"/>
    <w:rsid w:val="53B37D03"/>
    <w:rsid w:val="53C83DFF"/>
    <w:rsid w:val="54065C12"/>
    <w:rsid w:val="54322846"/>
    <w:rsid w:val="54411413"/>
    <w:rsid w:val="549C2CB7"/>
    <w:rsid w:val="54C64EE5"/>
    <w:rsid w:val="54CB1C53"/>
    <w:rsid w:val="54FB6F0A"/>
    <w:rsid w:val="54FE449B"/>
    <w:rsid w:val="55046055"/>
    <w:rsid w:val="55225730"/>
    <w:rsid w:val="55275B37"/>
    <w:rsid w:val="555F13B3"/>
    <w:rsid w:val="557145EB"/>
    <w:rsid w:val="55780685"/>
    <w:rsid w:val="55821646"/>
    <w:rsid w:val="55A52437"/>
    <w:rsid w:val="55AE03D7"/>
    <w:rsid w:val="56490F32"/>
    <w:rsid w:val="566A54C5"/>
    <w:rsid w:val="571202D4"/>
    <w:rsid w:val="576663EC"/>
    <w:rsid w:val="57DB2208"/>
    <w:rsid w:val="58A37E04"/>
    <w:rsid w:val="58B77F42"/>
    <w:rsid w:val="58F85954"/>
    <w:rsid w:val="59107568"/>
    <w:rsid w:val="59162D61"/>
    <w:rsid w:val="59290F65"/>
    <w:rsid w:val="59786104"/>
    <w:rsid w:val="5993375A"/>
    <w:rsid w:val="59BB72ED"/>
    <w:rsid w:val="5A231505"/>
    <w:rsid w:val="5A3F7101"/>
    <w:rsid w:val="5A405240"/>
    <w:rsid w:val="5A7E15CD"/>
    <w:rsid w:val="5AD06BC7"/>
    <w:rsid w:val="5AEA5256"/>
    <w:rsid w:val="5B025431"/>
    <w:rsid w:val="5B064AD8"/>
    <w:rsid w:val="5B1141DD"/>
    <w:rsid w:val="5B5149B1"/>
    <w:rsid w:val="5B9A7DA9"/>
    <w:rsid w:val="5C6F5122"/>
    <w:rsid w:val="5CA74405"/>
    <w:rsid w:val="5CAC0677"/>
    <w:rsid w:val="5D0F07B6"/>
    <w:rsid w:val="5D3130A6"/>
    <w:rsid w:val="5DAD3814"/>
    <w:rsid w:val="5DB01B55"/>
    <w:rsid w:val="5DBC48F8"/>
    <w:rsid w:val="5DC8381D"/>
    <w:rsid w:val="5DDF11D0"/>
    <w:rsid w:val="5DE93F51"/>
    <w:rsid w:val="5DED7E37"/>
    <w:rsid w:val="5DF875F1"/>
    <w:rsid w:val="5E16188F"/>
    <w:rsid w:val="5E4D4CE4"/>
    <w:rsid w:val="5E4E16FC"/>
    <w:rsid w:val="5E943B81"/>
    <w:rsid w:val="5E9972B6"/>
    <w:rsid w:val="5EB06EEC"/>
    <w:rsid w:val="5EC642C9"/>
    <w:rsid w:val="5F034261"/>
    <w:rsid w:val="5F685C76"/>
    <w:rsid w:val="5F695195"/>
    <w:rsid w:val="5FB87557"/>
    <w:rsid w:val="6067594E"/>
    <w:rsid w:val="607222A6"/>
    <w:rsid w:val="60787C4C"/>
    <w:rsid w:val="607A3867"/>
    <w:rsid w:val="60954C29"/>
    <w:rsid w:val="60BA019E"/>
    <w:rsid w:val="60BD1D85"/>
    <w:rsid w:val="60E851BD"/>
    <w:rsid w:val="61100453"/>
    <w:rsid w:val="61176C90"/>
    <w:rsid w:val="61965C40"/>
    <w:rsid w:val="61A502A1"/>
    <w:rsid w:val="61CD2179"/>
    <w:rsid w:val="61DC2864"/>
    <w:rsid w:val="61DD708F"/>
    <w:rsid w:val="622F29E6"/>
    <w:rsid w:val="62336E78"/>
    <w:rsid w:val="6259798D"/>
    <w:rsid w:val="62902C01"/>
    <w:rsid w:val="62B66653"/>
    <w:rsid w:val="6321672D"/>
    <w:rsid w:val="63243564"/>
    <w:rsid w:val="634C71A4"/>
    <w:rsid w:val="634E4FBF"/>
    <w:rsid w:val="6382721E"/>
    <w:rsid w:val="63A953BA"/>
    <w:rsid w:val="63BE4305"/>
    <w:rsid w:val="63C448D0"/>
    <w:rsid w:val="63CF5C0C"/>
    <w:rsid w:val="63D77F54"/>
    <w:rsid w:val="63E94255"/>
    <w:rsid w:val="645826F7"/>
    <w:rsid w:val="645F2CF6"/>
    <w:rsid w:val="64C87654"/>
    <w:rsid w:val="64E43905"/>
    <w:rsid w:val="64FE250F"/>
    <w:rsid w:val="652C5B4D"/>
    <w:rsid w:val="654540F4"/>
    <w:rsid w:val="657B7E73"/>
    <w:rsid w:val="658C0AD1"/>
    <w:rsid w:val="65A85006"/>
    <w:rsid w:val="66850E1E"/>
    <w:rsid w:val="66C12044"/>
    <w:rsid w:val="671B72B5"/>
    <w:rsid w:val="674D1AFC"/>
    <w:rsid w:val="6759412F"/>
    <w:rsid w:val="67780A37"/>
    <w:rsid w:val="67826AE2"/>
    <w:rsid w:val="67B8179C"/>
    <w:rsid w:val="68263B54"/>
    <w:rsid w:val="684C7E13"/>
    <w:rsid w:val="684E5987"/>
    <w:rsid w:val="688A092F"/>
    <w:rsid w:val="688A5CB4"/>
    <w:rsid w:val="68D82FC3"/>
    <w:rsid w:val="68E646F7"/>
    <w:rsid w:val="690F70A4"/>
    <w:rsid w:val="69F072D8"/>
    <w:rsid w:val="6A2D003D"/>
    <w:rsid w:val="6A72626C"/>
    <w:rsid w:val="6A8D4E05"/>
    <w:rsid w:val="6AA07A46"/>
    <w:rsid w:val="6B56339F"/>
    <w:rsid w:val="6B694D68"/>
    <w:rsid w:val="6B6C6B15"/>
    <w:rsid w:val="6B8E5781"/>
    <w:rsid w:val="6B93128C"/>
    <w:rsid w:val="6BA70CBB"/>
    <w:rsid w:val="6BB33160"/>
    <w:rsid w:val="6BE10CD8"/>
    <w:rsid w:val="6C486C0D"/>
    <w:rsid w:val="6CA32B9A"/>
    <w:rsid w:val="6CB950AF"/>
    <w:rsid w:val="6CD20F65"/>
    <w:rsid w:val="6CEC0800"/>
    <w:rsid w:val="6D7020B7"/>
    <w:rsid w:val="6D743A0D"/>
    <w:rsid w:val="6D826023"/>
    <w:rsid w:val="6D8E6E5D"/>
    <w:rsid w:val="6DC0225F"/>
    <w:rsid w:val="6DE1028B"/>
    <w:rsid w:val="6E0A4A61"/>
    <w:rsid w:val="6E0F7E6A"/>
    <w:rsid w:val="6E4C5231"/>
    <w:rsid w:val="6E890542"/>
    <w:rsid w:val="6EBF6B79"/>
    <w:rsid w:val="6EC21BD8"/>
    <w:rsid w:val="6EDB2144"/>
    <w:rsid w:val="6EE25AB7"/>
    <w:rsid w:val="6F087410"/>
    <w:rsid w:val="6F0B6EE7"/>
    <w:rsid w:val="6F243B6F"/>
    <w:rsid w:val="6F577F00"/>
    <w:rsid w:val="6F897916"/>
    <w:rsid w:val="6FBD7F5D"/>
    <w:rsid w:val="6FBF4099"/>
    <w:rsid w:val="6FD23FBA"/>
    <w:rsid w:val="70111DE0"/>
    <w:rsid w:val="706C39F7"/>
    <w:rsid w:val="70824D81"/>
    <w:rsid w:val="708F2437"/>
    <w:rsid w:val="709B21CD"/>
    <w:rsid w:val="70B65568"/>
    <w:rsid w:val="70BE6FB1"/>
    <w:rsid w:val="714011D3"/>
    <w:rsid w:val="7167304F"/>
    <w:rsid w:val="716A246C"/>
    <w:rsid w:val="71840BB1"/>
    <w:rsid w:val="71DF3BF0"/>
    <w:rsid w:val="71E6208D"/>
    <w:rsid w:val="71FF24EC"/>
    <w:rsid w:val="72226922"/>
    <w:rsid w:val="724416B5"/>
    <w:rsid w:val="7251241E"/>
    <w:rsid w:val="728258B1"/>
    <w:rsid w:val="72B25FFD"/>
    <w:rsid w:val="73086E1A"/>
    <w:rsid w:val="734B314C"/>
    <w:rsid w:val="73C752FE"/>
    <w:rsid w:val="74260F14"/>
    <w:rsid w:val="74AC3F67"/>
    <w:rsid w:val="74E15371"/>
    <w:rsid w:val="74E55F44"/>
    <w:rsid w:val="74F95ADC"/>
    <w:rsid w:val="7511638D"/>
    <w:rsid w:val="75204C51"/>
    <w:rsid w:val="75242537"/>
    <w:rsid w:val="752B2288"/>
    <w:rsid w:val="75777C1C"/>
    <w:rsid w:val="760C2AA7"/>
    <w:rsid w:val="761F1FE7"/>
    <w:rsid w:val="763B1D73"/>
    <w:rsid w:val="76515EC5"/>
    <w:rsid w:val="7670452F"/>
    <w:rsid w:val="769C0043"/>
    <w:rsid w:val="76AA44F7"/>
    <w:rsid w:val="76AF624F"/>
    <w:rsid w:val="76D142FB"/>
    <w:rsid w:val="76DA17A2"/>
    <w:rsid w:val="772210D6"/>
    <w:rsid w:val="77385F1E"/>
    <w:rsid w:val="773E5E33"/>
    <w:rsid w:val="77811863"/>
    <w:rsid w:val="77C819AC"/>
    <w:rsid w:val="783D09CA"/>
    <w:rsid w:val="786509C6"/>
    <w:rsid w:val="78714788"/>
    <w:rsid w:val="787E1173"/>
    <w:rsid w:val="788978C5"/>
    <w:rsid w:val="78A42FB7"/>
    <w:rsid w:val="78A90A1B"/>
    <w:rsid w:val="78E03A37"/>
    <w:rsid w:val="78EC3F0B"/>
    <w:rsid w:val="78FE1E52"/>
    <w:rsid w:val="791064DF"/>
    <w:rsid w:val="79280084"/>
    <w:rsid w:val="793C68C9"/>
    <w:rsid w:val="796371AA"/>
    <w:rsid w:val="799F2597"/>
    <w:rsid w:val="79A367A6"/>
    <w:rsid w:val="79E21CAB"/>
    <w:rsid w:val="7A072EC2"/>
    <w:rsid w:val="7A277538"/>
    <w:rsid w:val="7A361E75"/>
    <w:rsid w:val="7A5D6238"/>
    <w:rsid w:val="7A7E0E88"/>
    <w:rsid w:val="7ADB6612"/>
    <w:rsid w:val="7AF9331A"/>
    <w:rsid w:val="7B3C35CE"/>
    <w:rsid w:val="7BE177C3"/>
    <w:rsid w:val="7BFD2D9F"/>
    <w:rsid w:val="7C1738A1"/>
    <w:rsid w:val="7C20257E"/>
    <w:rsid w:val="7C4159C9"/>
    <w:rsid w:val="7C765EF1"/>
    <w:rsid w:val="7C8D12F7"/>
    <w:rsid w:val="7CB92630"/>
    <w:rsid w:val="7CF33236"/>
    <w:rsid w:val="7CF64160"/>
    <w:rsid w:val="7D243494"/>
    <w:rsid w:val="7D5E6FAC"/>
    <w:rsid w:val="7DF5023C"/>
    <w:rsid w:val="7DFD1212"/>
    <w:rsid w:val="7E273C7D"/>
    <w:rsid w:val="7E69415E"/>
    <w:rsid w:val="7E8C0C43"/>
    <w:rsid w:val="7EC93A08"/>
    <w:rsid w:val="7EEE6D5E"/>
    <w:rsid w:val="7F6A6B60"/>
    <w:rsid w:val="7F9A6AEA"/>
    <w:rsid w:val="7FA83CA6"/>
    <w:rsid w:val="7FAB147F"/>
    <w:rsid w:val="7FB51657"/>
    <w:rsid w:val="7FC34018"/>
    <w:rsid w:val="7FE14D7C"/>
    <w:rsid w:val="7FEF3FCC"/>
    <w:rsid w:val="7FF053B4"/>
    <w:rsid w:val="7FFA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cs="Times New Roman" w:eastAsiaTheme="minorEastAsia"/>
      <w:kern w:val="2"/>
      <w:sz w:val="24"/>
      <w:szCs w:val="24"/>
      <w:lang w:val="en-US" w:eastAsia="zh-CN" w:bidi="ar-SA"/>
    </w:rPr>
  </w:style>
  <w:style w:type="paragraph" w:styleId="2">
    <w:name w:val="heading 1"/>
    <w:basedOn w:val="1"/>
    <w:next w:val="1"/>
    <w:link w:val="47"/>
    <w:qFormat/>
    <w:uiPriority w:val="0"/>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39"/>
    <w:qFormat/>
    <w:uiPriority w:val="0"/>
    <w:pPr>
      <w:spacing w:beforeLines="25" w:afterLines="25" w:line="300" w:lineRule="auto"/>
    </w:pPr>
    <w:rPr>
      <w:rFonts w:ascii="Arial" w:hAnsi="Arial" w:eastAsia="黑体"/>
      <w:sz w:val="20"/>
      <w:szCs w:val="20"/>
    </w:rPr>
  </w:style>
  <w:style w:type="paragraph" w:styleId="6">
    <w:name w:val="Document Map"/>
    <w:basedOn w:val="1"/>
    <w:link w:val="32"/>
    <w:qFormat/>
    <w:uiPriority w:val="0"/>
    <w:rPr>
      <w:rFonts w:ascii="宋体"/>
      <w:sz w:val="18"/>
      <w:szCs w:val="18"/>
    </w:rPr>
  </w:style>
  <w:style w:type="paragraph" w:styleId="7">
    <w:name w:val="annotation text"/>
    <w:basedOn w:val="1"/>
    <w:link w:val="51"/>
    <w:qFormat/>
    <w:uiPriority w:val="99"/>
    <w:pPr>
      <w:jc w:val="left"/>
    </w:pPr>
  </w:style>
  <w:style w:type="paragraph" w:styleId="8">
    <w:name w:val="Body Text"/>
    <w:basedOn w:val="1"/>
    <w:link w:val="38"/>
    <w:qFormat/>
    <w:uiPriority w:val="0"/>
    <w:pPr>
      <w:spacing w:after="120"/>
    </w:pPr>
  </w:style>
  <w:style w:type="paragraph" w:styleId="9">
    <w:name w:val="Body Text Indent"/>
    <w:basedOn w:val="1"/>
    <w:link w:val="40"/>
    <w:qFormat/>
    <w:uiPriority w:val="0"/>
    <w:pPr>
      <w:ind w:firstLine="560"/>
    </w:pPr>
    <w:rPr>
      <w:sz w:val="28"/>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3"/>
    <w:qFormat/>
    <w:uiPriority w:val="0"/>
    <w:rPr>
      <w:sz w:val="18"/>
      <w:szCs w:val="18"/>
    </w:rPr>
  </w:style>
  <w:style w:type="paragraph" w:styleId="13">
    <w:name w:val="footer"/>
    <w:basedOn w:val="1"/>
    <w:link w:val="41"/>
    <w:qFormat/>
    <w:uiPriority w:val="0"/>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spacing w:line="500" w:lineRule="exact"/>
      <w:jc w:val="left"/>
    </w:pPr>
    <w:rPr>
      <w:rFonts w:ascii="宋体" w:hAnsi="宋体"/>
      <w:color w:val="333333"/>
    </w:rPr>
  </w:style>
  <w:style w:type="paragraph" w:styleId="16">
    <w:name w:val="toc 2"/>
    <w:basedOn w:val="1"/>
    <w:next w:val="1"/>
    <w:qFormat/>
    <w:uiPriority w:val="0"/>
    <w:pPr>
      <w:ind w:left="420" w:leftChars="200"/>
      <w:jc w:val="left"/>
    </w:pPr>
    <w:rPr>
      <w:rFonts w:ascii="宋体" w:hAnsi="宋体"/>
      <w:color w:val="333333"/>
    </w:rPr>
  </w:style>
  <w:style w:type="paragraph" w:styleId="17">
    <w:name w:val="Normal (Web)"/>
    <w:basedOn w:val="1"/>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7"/>
    <w:next w:val="7"/>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qFormat/>
    <w:uiPriority w:val="0"/>
    <w:rPr>
      <w:color w:val="800080"/>
      <w:u w:val="single"/>
    </w:rPr>
  </w:style>
  <w:style w:type="character" w:styleId="25">
    <w:name w:val="Hyperlink"/>
    <w:basedOn w:val="21"/>
    <w:qFormat/>
    <w:uiPriority w:val="0"/>
    <w:rPr>
      <w:color w:val="3E3E3E"/>
      <w:u w:val="none"/>
    </w:rPr>
  </w:style>
  <w:style w:type="character" w:styleId="26">
    <w:name w:val="annotation reference"/>
    <w:semiHidden/>
    <w:qFormat/>
    <w:uiPriority w:val="99"/>
    <w:rPr>
      <w:sz w:val="21"/>
      <w:szCs w:val="21"/>
    </w:rPr>
  </w:style>
  <w:style w:type="paragraph" w:customStyle="1" w:styleId="27">
    <w:name w:val="样式1"/>
    <w:basedOn w:val="1"/>
    <w:qFormat/>
    <w:uiPriority w:val="0"/>
  </w:style>
  <w:style w:type="paragraph" w:customStyle="1" w:styleId="28">
    <w:name w:val="默认段落字体 Para Char"/>
    <w:basedOn w:val="1"/>
    <w:qFormat/>
    <w:uiPriority w:val="0"/>
  </w:style>
  <w:style w:type="paragraph" w:styleId="29">
    <w:name w:val="List Paragraph"/>
    <w:basedOn w:val="1"/>
    <w:qFormat/>
    <w:uiPriority w:val="0"/>
    <w:pPr>
      <w:ind w:firstLine="420" w:firstLineChars="200"/>
    </w:pPr>
    <w:rPr>
      <w:rFonts w:ascii="Calibri" w:hAnsi="Calibri"/>
      <w:szCs w:val="22"/>
    </w:rPr>
  </w:style>
  <w:style w:type="paragraph" w:customStyle="1" w:styleId="30">
    <w:name w:val="列出段落1"/>
    <w:basedOn w:val="1"/>
    <w:qFormat/>
    <w:uiPriority w:val="0"/>
    <w:pPr>
      <w:ind w:firstLine="420" w:firstLineChars="200"/>
    </w:pPr>
    <w:rPr>
      <w:rFonts w:ascii="Calibri" w:hAnsi="Calibri"/>
      <w:szCs w:val="22"/>
    </w:rPr>
  </w:style>
  <w:style w:type="character" w:customStyle="1" w:styleId="31">
    <w:name w:val="页眉 Char"/>
    <w:link w:val="14"/>
    <w:qFormat/>
    <w:uiPriority w:val="0"/>
    <w:rPr>
      <w:kern w:val="2"/>
      <w:sz w:val="18"/>
      <w:szCs w:val="18"/>
    </w:rPr>
  </w:style>
  <w:style w:type="character" w:customStyle="1" w:styleId="32">
    <w:name w:val="文档结构图 Char"/>
    <w:link w:val="6"/>
    <w:qFormat/>
    <w:uiPriority w:val="0"/>
    <w:rPr>
      <w:rFonts w:ascii="宋体"/>
      <w:kern w:val="2"/>
      <w:sz w:val="18"/>
      <w:szCs w:val="18"/>
    </w:rPr>
  </w:style>
  <w:style w:type="character" w:customStyle="1" w:styleId="33">
    <w:name w:val="批注框文本 Char"/>
    <w:link w:val="12"/>
    <w:qFormat/>
    <w:uiPriority w:val="0"/>
    <w:rPr>
      <w:kern w:val="2"/>
      <w:sz w:val="18"/>
      <w:szCs w:val="18"/>
    </w:rPr>
  </w:style>
  <w:style w:type="paragraph" w:customStyle="1" w:styleId="3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7">
    <w:name w:val="_Style 27"/>
    <w:basedOn w:val="1"/>
    <w:qFormat/>
    <w:uiPriority w:val="0"/>
    <w:pPr>
      <w:widowControl/>
      <w:spacing w:after="160" w:line="240" w:lineRule="exact"/>
      <w:jc w:val="left"/>
    </w:pPr>
    <w:rPr>
      <w:rFonts w:ascii="Verdana" w:hAnsi="Verdana" w:eastAsia="仿宋_GB2312"/>
      <w:kern w:val="0"/>
      <w:szCs w:val="20"/>
      <w:lang w:eastAsia="en-US"/>
    </w:rPr>
  </w:style>
  <w:style w:type="character" w:customStyle="1" w:styleId="38">
    <w:name w:val="正文文本 Char"/>
    <w:link w:val="8"/>
    <w:qFormat/>
    <w:uiPriority w:val="0"/>
    <w:rPr>
      <w:kern w:val="2"/>
      <w:sz w:val="21"/>
      <w:szCs w:val="24"/>
    </w:rPr>
  </w:style>
  <w:style w:type="character" w:customStyle="1" w:styleId="39">
    <w:name w:val="题注 Char"/>
    <w:link w:val="5"/>
    <w:qFormat/>
    <w:uiPriority w:val="0"/>
    <w:rPr>
      <w:rFonts w:ascii="Arial" w:hAnsi="Arial" w:eastAsia="黑体" w:cs="Arial"/>
      <w:kern w:val="2"/>
    </w:rPr>
  </w:style>
  <w:style w:type="character" w:customStyle="1" w:styleId="40">
    <w:name w:val="正文文本缩进 Char"/>
    <w:link w:val="9"/>
    <w:qFormat/>
    <w:uiPriority w:val="0"/>
    <w:rPr>
      <w:kern w:val="2"/>
      <w:sz w:val="28"/>
    </w:rPr>
  </w:style>
  <w:style w:type="character" w:customStyle="1" w:styleId="41">
    <w:name w:val="页脚 Char"/>
    <w:link w:val="13"/>
    <w:qFormat/>
    <w:uiPriority w:val="99"/>
    <w:rPr>
      <w:kern w:val="2"/>
      <w:sz w:val="18"/>
      <w:szCs w:val="18"/>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正文无缩进"/>
    <w:basedOn w:val="1"/>
    <w:qFormat/>
    <w:uiPriority w:val="99"/>
    <w:pPr>
      <w:spacing w:line="440" w:lineRule="exact"/>
    </w:pPr>
    <w:rPr>
      <w:rFonts w:ascii="Calibri" w:hAnsi="Calibri"/>
    </w:rPr>
  </w:style>
  <w:style w:type="paragraph" w:customStyle="1" w:styleId="44">
    <w:name w:val="二级条标题 Char"/>
    <w:basedOn w:val="45"/>
    <w:next w:val="1"/>
    <w:qFormat/>
    <w:uiPriority w:val="0"/>
    <w:pPr>
      <w:numPr>
        <w:numId w:val="0"/>
      </w:numPr>
      <w:tabs>
        <w:tab w:val="left" w:pos="360"/>
      </w:tabs>
      <w:ind w:left="1440"/>
      <w:outlineLvl w:val="3"/>
    </w:pPr>
  </w:style>
  <w:style w:type="paragraph" w:customStyle="1" w:styleId="45">
    <w:name w:val="一级条标题 Char"/>
    <w:basedOn w:val="46"/>
    <w:next w:val="1"/>
    <w:qFormat/>
    <w:uiPriority w:val="0"/>
    <w:pPr>
      <w:numPr>
        <w:ilvl w:val="0"/>
        <w:numId w:val="1"/>
      </w:numPr>
      <w:tabs>
        <w:tab w:val="left" w:pos="360"/>
        <w:tab w:val="clear" w:pos="1770"/>
      </w:tabs>
      <w:spacing w:beforeLines="0" w:afterLines="0"/>
      <w:ind w:left="900" w:firstLine="0"/>
      <w:outlineLvl w:val="2"/>
    </w:pPr>
  </w:style>
  <w:style w:type="paragraph" w:customStyle="1" w:styleId="46">
    <w:name w:val="章标题 Char"/>
    <w:next w:val="1"/>
    <w:qFormat/>
    <w:uiPriority w:val="0"/>
    <w:pPr>
      <w:spacing w:beforeLines="50" w:afterLines="50"/>
      <w:ind w:left="315"/>
      <w:jc w:val="both"/>
      <w:outlineLvl w:val="1"/>
    </w:pPr>
    <w:rPr>
      <w:rFonts w:ascii="黑体" w:eastAsia="黑体" w:hAnsiTheme="minorHAnsi" w:cstheme="minorBidi"/>
      <w:kern w:val="2"/>
      <w:sz w:val="21"/>
      <w:szCs w:val="24"/>
      <w:lang w:val="en-US" w:eastAsia="zh-CN" w:bidi="ar-SA"/>
    </w:rPr>
  </w:style>
  <w:style w:type="character" w:customStyle="1" w:styleId="47">
    <w:name w:val="标题 1 Char"/>
    <w:basedOn w:val="21"/>
    <w:link w:val="2"/>
    <w:qFormat/>
    <w:uiPriority w:val="0"/>
    <w:rPr>
      <w:b/>
      <w:spacing w:val="8"/>
      <w:kern w:val="0"/>
      <w:sz w:val="32"/>
      <w:szCs w:val="32"/>
    </w:rPr>
  </w:style>
  <w:style w:type="character" w:customStyle="1" w:styleId="48">
    <w:name w:val="font11"/>
    <w:basedOn w:val="21"/>
    <w:qFormat/>
    <w:uiPriority w:val="0"/>
    <w:rPr>
      <w:rFonts w:hint="eastAsia" w:ascii="宋体" w:hAnsi="宋体" w:eastAsia="宋体" w:cs="宋体"/>
      <w:color w:val="000000"/>
      <w:sz w:val="18"/>
      <w:szCs w:val="18"/>
      <w:u w:val="none"/>
    </w:rPr>
  </w:style>
  <w:style w:type="paragraph" w:customStyle="1" w:styleId="49">
    <w:name w:val="表标题A"/>
    <w:basedOn w:val="1"/>
    <w:qFormat/>
    <w:uiPriority w:val="99"/>
    <w:pPr>
      <w:spacing w:beforeLines="50" w:afterLines="50"/>
      <w:jc w:val="center"/>
    </w:pPr>
    <w:rPr>
      <w:rFonts w:ascii="Calibri" w:hAnsi="Calibri"/>
      <w:b/>
    </w:rPr>
  </w:style>
  <w:style w:type="paragraph" w:customStyle="1" w:styleId="50">
    <w:name w:val="表内容"/>
    <w:basedOn w:val="1"/>
    <w:next w:val="1"/>
    <w:qFormat/>
    <w:uiPriority w:val="99"/>
    <w:pPr>
      <w:jc w:val="center"/>
    </w:pPr>
    <w:rPr>
      <w:rFonts w:ascii="Calibri" w:hAnsi="Calibri"/>
    </w:rPr>
  </w:style>
  <w:style w:type="character" w:customStyle="1" w:styleId="51">
    <w:name w:val="批注文字 Char"/>
    <w:basedOn w:val="21"/>
    <w:link w:val="7"/>
    <w:qFormat/>
    <w:uiPriority w:val="99"/>
    <w:rPr>
      <w:kern w:val="2"/>
      <w:sz w:val="24"/>
      <w:szCs w:val="24"/>
    </w:rPr>
  </w:style>
  <w:style w:type="character" w:customStyle="1" w:styleId="52">
    <w:name w:val="页脚 Char1"/>
    <w:qFormat/>
    <w:uiPriority w:val="0"/>
    <w:rPr>
      <w:kern w:val="2"/>
      <w:sz w:val="18"/>
    </w:rPr>
  </w:style>
  <w:style w:type="table" w:customStyle="1" w:styleId="53">
    <w:name w:val="网格型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
    <w:name w:val="网格型1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
    <w:name w:val="网格型2"/>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节"/>
    <w:basedOn w:val="1"/>
    <w:qFormat/>
    <w:uiPriority w:val="0"/>
    <w:pPr>
      <w:spacing w:before="312" w:beforeLines="100" w:after="312" w:afterLines="100" w:line="300" w:lineRule="auto"/>
      <w:jc w:val="center"/>
      <w:outlineLvl w:val="1"/>
    </w:pPr>
    <w:rPr>
      <w:rFonts w:eastAsia="宋体"/>
      <w:b/>
      <w:bCs/>
    </w:rPr>
  </w:style>
  <w:style w:type="paragraph" w:customStyle="1" w:styleId="57">
    <w:name w:val="Revision"/>
    <w:hidden/>
    <w:unhideWhenUsed/>
    <w:qFormat/>
    <w:uiPriority w:val="99"/>
    <w:rPr>
      <w:rFonts w:ascii="Times New Roman" w:hAnsi="Times New Roman" w:cs="Times New Roman" w:eastAsiaTheme="minorEastAsia"/>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GIF"/><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9EDD9-FF0F-4B3C-9CCE-294F1E389E3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144</Pages>
  <Words>12481</Words>
  <Characters>13563</Characters>
  <Lines>629</Lines>
  <Paragraphs>177</Paragraphs>
  <TotalTime>4</TotalTime>
  <ScaleCrop>false</ScaleCrop>
  <LinksUpToDate>false</LinksUpToDate>
  <CharactersWithSpaces>13987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2021-12-27T02:30:00Z</dcterms:created>
  <dc:creator>zhu_gh.yf</dc:creator>
  <cp:lastModifiedBy>WPS_1584020788</cp:lastModifiedBy>
  <cp:lastPrinted>2020-06-17T07:08:00Z</cp:lastPrinted>
  <dcterms:modified xsi:type="dcterms:W3CDTF">2026-02-09T02:47:30Z</dcterms:modified>
  <dc:title>关于局部修订《室外排水设计规范》的几个问题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eyJoZGlkIjoiN2NmN2UyYzViMmVjZjFmYjkxZDg5M2ZhZDg0NGY3MWYiLCJ1c2VySWQiOiI5MDMzODEyNDgifQ==</vt:lpwstr>
  </property>
  <property fmtid="{D5CDD505-2E9C-101B-9397-08002B2CF9AE}" pid="4" name="ICV">
    <vt:lpwstr>1CF6812ACF7A4F6CB89467E04768E191_12</vt:lpwstr>
  </property>
</Properties>
</file>